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CA34E">
      <w:pPr>
        <w:pStyle w:val="3"/>
        <w:pageBreakBefore w:val="0"/>
        <w:kinsoku/>
        <w:wordWrap/>
        <w:overflowPunct/>
        <w:topLinePunct w:val="0"/>
        <w:bidi w:val="0"/>
        <w:adjustRightInd/>
        <w:spacing w:line="480" w:lineRule="exact"/>
        <w:jc w:val="center"/>
        <w:textAlignment w:val="auto"/>
        <w:rPr>
          <w:rFonts w:hint="eastAsia" w:ascii="宋体" w:hAnsi="宋体"/>
        </w:rPr>
      </w:pPr>
      <w:bookmarkStart w:id="0" w:name="_Toc421543628"/>
      <w:bookmarkStart w:id="1" w:name="_Toc384593522"/>
      <w:r>
        <w:rPr>
          <w:rFonts w:hint="eastAsia" w:ascii="宋体" w:hAnsi="宋体"/>
          <w:highlight w:val="none"/>
          <w:lang w:val="en-US" w:eastAsia="zh-CN"/>
        </w:rPr>
        <w:t>《医疗器械无菌检（化）验员能力要求》</w:t>
      </w:r>
      <w:r>
        <w:rPr>
          <w:rFonts w:hint="eastAsia" w:ascii="宋体" w:hAnsi="宋体"/>
          <w:highlight w:val="none"/>
        </w:rPr>
        <w:t>编制说</w:t>
      </w:r>
      <w:r>
        <w:rPr>
          <w:rFonts w:hint="eastAsia" w:ascii="宋体" w:hAnsi="宋体"/>
        </w:rPr>
        <w:t>明</w:t>
      </w:r>
    </w:p>
    <w:p w14:paraId="128F655A">
      <w:pPr>
        <w:rPr>
          <w:rFonts w:hint="eastAsia" w:ascii="宋体" w:hAnsi="宋体" w:eastAsia="宋体" w:cs="宋体"/>
          <w:b/>
          <w:bCs/>
          <w:sz w:val="28"/>
          <w:szCs w:val="28"/>
          <w:lang w:val="en-US" w:eastAsia="zh-CN"/>
        </w:rPr>
      </w:pPr>
    </w:p>
    <w:p w14:paraId="747EFFDB">
      <w:pPr>
        <w:rPr>
          <w:rFonts w:hint="eastAsia" w:ascii="宋体" w:hAnsi="宋体" w:eastAsia="宋体" w:cs="宋体"/>
          <w:b/>
          <w:bCs/>
          <w:sz w:val="28"/>
          <w:szCs w:val="28"/>
          <w:lang w:val="en-US" w:eastAsia="zh-CN"/>
        </w:rPr>
      </w:pPr>
    </w:p>
    <w:p w14:paraId="63C3A52F">
      <w:pPr>
        <w:rPr>
          <w:rFonts w:hint="eastAsia" w:ascii="宋体" w:hAnsi="宋体" w:eastAsia="宋体" w:cs="宋体"/>
          <w:b/>
          <w:bCs/>
          <w:sz w:val="28"/>
          <w:szCs w:val="28"/>
          <w:lang w:val="en-US" w:eastAsia="zh-CN"/>
        </w:rPr>
      </w:pPr>
    </w:p>
    <w:p w14:paraId="31F7529C">
      <w:pPr>
        <w:rPr>
          <w:rFonts w:hint="eastAsia" w:ascii="宋体" w:hAnsi="宋体" w:eastAsia="宋体" w:cs="宋体"/>
          <w:b/>
          <w:bCs/>
          <w:sz w:val="28"/>
          <w:szCs w:val="28"/>
          <w:lang w:val="en-US" w:eastAsia="zh-CN"/>
        </w:rPr>
      </w:pPr>
    </w:p>
    <w:p w14:paraId="2BC553E6">
      <w:pPr>
        <w:pStyle w:val="2"/>
        <w:rPr>
          <w:rFonts w:hint="eastAsia" w:ascii="宋体" w:hAnsi="宋体" w:eastAsia="宋体" w:cs="宋体"/>
          <w:b/>
          <w:bCs/>
          <w:sz w:val="28"/>
          <w:szCs w:val="28"/>
          <w:lang w:val="en-US" w:eastAsia="zh-CN"/>
        </w:rPr>
      </w:pPr>
    </w:p>
    <w:p w14:paraId="450AA68B">
      <w:pPr>
        <w:rPr>
          <w:rFonts w:hint="eastAsia" w:ascii="宋体" w:hAnsi="宋体" w:eastAsia="宋体" w:cs="宋体"/>
          <w:b/>
          <w:bCs/>
          <w:sz w:val="28"/>
          <w:szCs w:val="28"/>
          <w:lang w:val="en-US" w:eastAsia="zh-CN"/>
        </w:rPr>
      </w:pPr>
    </w:p>
    <w:p w14:paraId="5C1B9D0C">
      <w:pPr>
        <w:pStyle w:val="2"/>
        <w:rPr>
          <w:rFonts w:hint="eastAsia" w:ascii="宋体" w:hAnsi="宋体" w:eastAsia="宋体" w:cs="宋体"/>
          <w:b/>
          <w:bCs/>
          <w:sz w:val="28"/>
          <w:szCs w:val="28"/>
          <w:lang w:val="en-US" w:eastAsia="zh-CN"/>
        </w:rPr>
      </w:pPr>
    </w:p>
    <w:p w14:paraId="315ED2F0">
      <w:pPr>
        <w:rPr>
          <w:rFonts w:hint="eastAsia" w:ascii="宋体" w:hAnsi="宋体" w:eastAsia="宋体" w:cs="宋体"/>
          <w:b/>
          <w:bCs/>
          <w:sz w:val="28"/>
          <w:szCs w:val="28"/>
          <w:lang w:val="en-US" w:eastAsia="zh-CN"/>
        </w:rPr>
      </w:pPr>
    </w:p>
    <w:p w14:paraId="0716E64D">
      <w:pPr>
        <w:pStyle w:val="2"/>
        <w:rPr>
          <w:rFonts w:hint="eastAsia" w:ascii="宋体" w:hAnsi="宋体" w:eastAsia="宋体" w:cs="宋体"/>
          <w:b/>
          <w:bCs/>
          <w:sz w:val="28"/>
          <w:szCs w:val="28"/>
          <w:lang w:val="en-US" w:eastAsia="zh-CN"/>
        </w:rPr>
      </w:pPr>
    </w:p>
    <w:p w14:paraId="3261725F">
      <w:pPr>
        <w:rPr>
          <w:rFonts w:hint="eastAsia" w:ascii="宋体" w:hAnsi="宋体" w:eastAsia="宋体" w:cs="宋体"/>
          <w:b/>
          <w:bCs/>
          <w:sz w:val="28"/>
          <w:szCs w:val="28"/>
          <w:lang w:val="en-US" w:eastAsia="zh-CN"/>
        </w:rPr>
      </w:pPr>
    </w:p>
    <w:p w14:paraId="44121F15">
      <w:pPr>
        <w:pStyle w:val="2"/>
        <w:rPr>
          <w:rFonts w:hint="eastAsia" w:ascii="宋体" w:hAnsi="宋体" w:eastAsia="宋体" w:cs="宋体"/>
          <w:b/>
          <w:bCs/>
          <w:sz w:val="28"/>
          <w:szCs w:val="28"/>
          <w:lang w:val="en-US" w:eastAsia="zh-CN"/>
        </w:rPr>
      </w:pPr>
    </w:p>
    <w:p w14:paraId="12E253DB">
      <w:pPr>
        <w:rPr>
          <w:rFonts w:hint="eastAsia" w:ascii="宋体" w:hAnsi="宋体" w:eastAsia="宋体" w:cs="宋体"/>
          <w:b/>
          <w:bCs/>
          <w:sz w:val="28"/>
          <w:szCs w:val="28"/>
          <w:lang w:val="en-US" w:eastAsia="zh-CN"/>
        </w:rPr>
      </w:pPr>
    </w:p>
    <w:p w14:paraId="3571361F">
      <w:pPr>
        <w:pStyle w:val="2"/>
        <w:rPr>
          <w:rFonts w:hint="eastAsia"/>
          <w:lang w:val="en-US" w:eastAsia="zh-CN"/>
        </w:rPr>
      </w:pPr>
    </w:p>
    <w:p w14:paraId="44BC33AF">
      <w:pPr>
        <w:rPr>
          <w:rFonts w:hint="eastAsia" w:ascii="宋体" w:hAnsi="宋体" w:eastAsia="宋体" w:cs="宋体"/>
          <w:b/>
          <w:bCs/>
          <w:sz w:val="28"/>
          <w:szCs w:val="28"/>
          <w:lang w:val="en-US" w:eastAsia="zh-CN"/>
        </w:rPr>
      </w:pPr>
    </w:p>
    <w:p w14:paraId="195D40B9">
      <w:pPr>
        <w:ind w:firstLine="1687" w:firstLineChars="6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编制：</w:t>
      </w:r>
      <w:r>
        <w:rPr>
          <w:rFonts w:hint="eastAsia" w:ascii="宋体" w:hAnsi="宋体" w:eastAsia="宋体" w:cs="宋体"/>
          <w:b w:val="0"/>
          <w:bCs w:val="0"/>
          <w:sz w:val="28"/>
          <w:szCs w:val="28"/>
          <w:lang w:val="en-US" w:eastAsia="zh-CN"/>
        </w:rPr>
        <w:t>徐金星</w:t>
      </w:r>
      <w:r>
        <w:rPr>
          <w:rFonts w:hint="eastAsia" w:ascii="宋体" w:hAnsi="宋体" w:eastAsia="宋体" w:cs="宋体"/>
          <w:b/>
          <w:bCs/>
          <w:sz w:val="28"/>
          <w:szCs w:val="28"/>
          <w:lang w:val="en-US" w:eastAsia="zh-CN"/>
        </w:rPr>
        <w:t xml:space="preserve">     </w:t>
      </w:r>
    </w:p>
    <w:p w14:paraId="34C7087C">
      <w:pPr>
        <w:ind w:firstLine="1687" w:firstLineChars="6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校准：</w:t>
      </w:r>
      <w:r>
        <w:rPr>
          <w:rFonts w:hint="eastAsia" w:ascii="宋体" w:hAnsi="宋体" w:eastAsia="宋体" w:cs="宋体"/>
          <w:b w:val="0"/>
          <w:bCs w:val="0"/>
          <w:sz w:val="28"/>
          <w:szCs w:val="28"/>
          <w:lang w:val="en-US" w:eastAsia="zh-CN"/>
        </w:rPr>
        <w:t xml:space="preserve">郑李爽 </w:t>
      </w:r>
      <w:r>
        <w:rPr>
          <w:rFonts w:hint="eastAsia" w:ascii="宋体" w:hAnsi="宋体" w:eastAsia="宋体" w:cs="宋体"/>
          <w:b/>
          <w:bCs/>
          <w:sz w:val="28"/>
          <w:szCs w:val="28"/>
          <w:lang w:val="en-US" w:eastAsia="zh-CN"/>
        </w:rPr>
        <w:t xml:space="preserve">   </w:t>
      </w:r>
    </w:p>
    <w:p w14:paraId="07F1C3EB">
      <w:pPr>
        <w:ind w:firstLine="1687" w:firstLineChars="600"/>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编制时间：</w:t>
      </w:r>
      <w:r>
        <w:rPr>
          <w:rFonts w:hint="eastAsia" w:ascii="宋体" w:hAnsi="宋体" w:eastAsia="宋体" w:cs="宋体"/>
          <w:b w:val="0"/>
          <w:bCs w:val="0"/>
          <w:sz w:val="28"/>
          <w:szCs w:val="28"/>
          <w:lang w:val="en-US" w:eastAsia="zh-CN"/>
        </w:rPr>
        <w:t>202</w:t>
      </w:r>
      <w:r>
        <w:rPr>
          <w:rFonts w:hint="eastAsia" w:ascii="宋体" w:hAnsi="宋体" w:cs="宋体"/>
          <w:b w:val="0"/>
          <w:bCs w:val="0"/>
          <w:sz w:val="28"/>
          <w:szCs w:val="28"/>
          <w:lang w:val="en-US" w:eastAsia="zh-CN"/>
        </w:rPr>
        <w:t>5</w:t>
      </w:r>
      <w:r>
        <w:rPr>
          <w:rFonts w:hint="eastAsia" w:ascii="宋体" w:hAnsi="宋体" w:eastAsia="宋体" w:cs="宋体"/>
          <w:b w:val="0"/>
          <w:bCs w:val="0"/>
          <w:sz w:val="28"/>
          <w:szCs w:val="28"/>
          <w:lang w:val="en-US" w:eastAsia="zh-CN"/>
        </w:rPr>
        <w:t>年5月11日</w:t>
      </w:r>
    </w:p>
    <w:p w14:paraId="360396A1">
      <w:pPr>
        <w:pStyle w:val="2"/>
        <w:ind w:firstLine="1687" w:firstLineChars="600"/>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版本号：</w:t>
      </w:r>
      <w:r>
        <w:rPr>
          <w:rFonts w:hint="eastAsia" w:ascii="宋体" w:hAnsi="宋体" w:eastAsia="宋体" w:cs="宋体"/>
          <w:b w:val="0"/>
          <w:bCs w:val="0"/>
          <w:sz w:val="28"/>
          <w:szCs w:val="28"/>
          <w:lang w:val="en-US" w:eastAsia="zh-CN"/>
        </w:rPr>
        <w:t>2025年</w:t>
      </w:r>
      <w:r>
        <w:rPr>
          <w:rFonts w:hint="eastAsia" w:ascii="宋体" w:hAnsi="宋体" w:cs="宋体"/>
          <w:b w:val="0"/>
          <w:bCs w:val="0"/>
          <w:sz w:val="28"/>
          <w:szCs w:val="28"/>
          <w:lang w:val="en-US" w:eastAsia="zh-CN"/>
        </w:rPr>
        <w:t>5月11日修订</w:t>
      </w:r>
      <w:r>
        <w:rPr>
          <w:rFonts w:hint="eastAsia" w:ascii="宋体" w:hAnsi="宋体" w:eastAsia="宋体" w:cs="宋体"/>
          <w:b w:val="0"/>
          <w:bCs w:val="0"/>
          <w:sz w:val="28"/>
          <w:szCs w:val="28"/>
          <w:lang w:val="en-US" w:eastAsia="zh-CN"/>
        </w:rPr>
        <w:t>第二版</w:t>
      </w:r>
    </w:p>
    <w:p w14:paraId="209A43C8">
      <w:pPr>
        <w:rPr>
          <w:rFonts w:hint="eastAsia" w:ascii="宋体" w:hAnsi="宋体"/>
        </w:rPr>
      </w:pPr>
    </w:p>
    <w:p w14:paraId="0F9606B7">
      <w:pPr>
        <w:rPr>
          <w:rFonts w:hint="eastAsia" w:ascii="宋体" w:hAnsi="宋体"/>
        </w:rPr>
      </w:pPr>
      <w:r>
        <w:rPr>
          <w:rFonts w:hint="eastAsia" w:ascii="宋体" w:hAnsi="宋体"/>
        </w:rPr>
        <w:br w:type="page"/>
      </w:r>
    </w:p>
    <w:bookmarkEnd w:id="0"/>
    <w:bookmarkEnd w:id="1"/>
    <w:p w14:paraId="2C00FEE0">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黑体" w:eastAsia="黑体"/>
          <w:sz w:val="24"/>
        </w:rPr>
      </w:pPr>
      <w:r>
        <w:rPr>
          <w:rFonts w:hint="eastAsia" w:ascii="黑体" w:eastAsia="黑体"/>
          <w:sz w:val="24"/>
        </w:rPr>
        <w:t>一、工作简况，包括任务来源、协作单位、主要工作、团体标准主要起草人及其所承担的工作等</w:t>
      </w:r>
    </w:p>
    <w:p w14:paraId="54E8982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黑体" w:eastAsia="黑体"/>
          <w:sz w:val="24"/>
        </w:rPr>
      </w:pPr>
      <w:r>
        <w:rPr>
          <w:rFonts w:hint="eastAsia" w:ascii="黑体" w:eastAsia="黑体"/>
          <w:sz w:val="24"/>
        </w:rPr>
        <w:t>1.任务来源</w:t>
      </w:r>
    </w:p>
    <w:p w14:paraId="36C1ED2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依据国家药监局发布</w:t>
      </w:r>
      <w:r>
        <w:rPr>
          <w:rFonts w:hint="eastAsia" w:asciiTheme="minorEastAsia" w:hAnsiTheme="minorEastAsia" w:eastAsiaTheme="minorEastAsia"/>
          <w:sz w:val="24"/>
          <w:szCs w:val="24"/>
        </w:rPr>
        <w:t>《医疗器械生产质量管理规范》、《附录无菌医疗器械》及《附录植入性医疗器械》等法规</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随着法规实施对</w:t>
      </w:r>
      <w:r>
        <w:rPr>
          <w:rFonts w:hint="eastAsia" w:asciiTheme="minorEastAsia" w:hAnsiTheme="minorEastAsia" w:eastAsiaTheme="minorEastAsia"/>
          <w:sz w:val="24"/>
          <w:szCs w:val="24"/>
        </w:rPr>
        <w:t>从事影响产品质量及检验工作的人员应当经过相应的专业技术培训，具有相关理论知识和实际操作技能”提出明确的要求</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检验人员操作流程没有参考的相应标准，紧依据</w:t>
      </w:r>
      <w:r>
        <w:rPr>
          <w:rFonts w:hint="eastAsia" w:asciiTheme="minorEastAsia" w:hAnsiTheme="minorEastAsia" w:eastAsiaTheme="minorEastAsia"/>
          <w:sz w:val="24"/>
          <w:szCs w:val="24"/>
        </w:rPr>
        <w:t>2020年版《中华人民共和国药典》(以下简称《中国药典》)要求，</w:t>
      </w:r>
      <w:r>
        <w:rPr>
          <w:rFonts w:hint="eastAsia" w:asciiTheme="minorEastAsia" w:hAnsiTheme="minorEastAsia" w:eastAsiaTheme="minorEastAsia"/>
          <w:sz w:val="24"/>
          <w:szCs w:val="24"/>
          <w:lang w:val="en-US" w:eastAsia="zh-CN"/>
        </w:rPr>
        <w:t>参考</w:t>
      </w:r>
      <w:r>
        <w:rPr>
          <w:rFonts w:hint="eastAsia" w:asciiTheme="minorEastAsia" w:hAnsiTheme="minorEastAsia" w:eastAsiaTheme="minorEastAsia"/>
          <w:sz w:val="24"/>
          <w:szCs w:val="24"/>
        </w:rPr>
        <w:t>内容有微生物检验操作中的安全操作、灭菌药品的无菌检查、非规定灭菌药品及中药饮片微生物限度与控制菌检查、药品内毒素检查、药品热原物质检查、药品过敏反应检查、药品急性毒性检查、药品对血液的影响、抑菌剂抑菌效力的检查、抗生素效价微生物法测定等。</w:t>
      </w:r>
      <w:r>
        <w:rPr>
          <w:rFonts w:hint="eastAsia" w:asciiTheme="minorEastAsia" w:hAnsiTheme="minorEastAsia" w:eastAsiaTheme="minorEastAsia"/>
          <w:sz w:val="24"/>
          <w:szCs w:val="24"/>
          <w:lang w:val="en-US" w:eastAsia="zh-CN"/>
        </w:rPr>
        <w:t>不能够有效结合</w:t>
      </w:r>
      <w:r>
        <w:rPr>
          <w:rFonts w:hint="eastAsia" w:asciiTheme="minorEastAsia" w:hAnsiTheme="minorEastAsia" w:eastAsiaTheme="minorEastAsia"/>
          <w:sz w:val="24"/>
          <w:szCs w:val="24"/>
        </w:rPr>
        <w:t>医疗器械生产</w:t>
      </w:r>
      <w:r>
        <w:rPr>
          <w:rFonts w:hint="eastAsia" w:asciiTheme="minorEastAsia" w:hAnsiTheme="minorEastAsia" w:eastAsiaTheme="minorEastAsia"/>
          <w:sz w:val="24"/>
          <w:szCs w:val="24"/>
          <w:lang w:val="en-US" w:eastAsia="zh-CN"/>
        </w:rPr>
        <w:t>检验人员</w:t>
      </w:r>
      <w:r>
        <w:rPr>
          <w:rFonts w:hint="eastAsia" w:asciiTheme="minorEastAsia" w:hAnsiTheme="minorEastAsia" w:eastAsiaTheme="minorEastAsia"/>
          <w:sz w:val="24"/>
          <w:szCs w:val="24"/>
        </w:rPr>
        <w:t>准确理解</w:t>
      </w:r>
      <w:r>
        <w:rPr>
          <w:rFonts w:hint="eastAsia" w:asciiTheme="minorEastAsia" w:hAnsiTheme="minorEastAsia" w:eastAsiaTheme="minorEastAsia"/>
          <w:sz w:val="24"/>
          <w:szCs w:val="24"/>
          <w:lang w:val="en-US" w:eastAsia="zh-CN"/>
        </w:rPr>
        <w:t>法规</w:t>
      </w:r>
      <w:r>
        <w:rPr>
          <w:rFonts w:hint="eastAsia" w:asciiTheme="minorEastAsia" w:hAnsiTheme="minorEastAsia" w:eastAsiaTheme="minorEastAsia"/>
          <w:sz w:val="24"/>
          <w:szCs w:val="24"/>
        </w:rPr>
        <w:t>要求，规范无菌检验</w:t>
      </w:r>
      <w:r>
        <w:rPr>
          <w:rFonts w:hint="eastAsia" w:asciiTheme="minorEastAsia" w:hAnsiTheme="minorEastAsia" w:eastAsiaTheme="minorEastAsia"/>
          <w:sz w:val="24"/>
          <w:szCs w:val="24"/>
          <w:lang w:val="en-US" w:eastAsia="zh-CN"/>
        </w:rPr>
        <w:t>的</w:t>
      </w:r>
      <w:r>
        <w:rPr>
          <w:rFonts w:hint="eastAsia" w:asciiTheme="minorEastAsia" w:hAnsiTheme="minorEastAsia" w:eastAsiaTheme="minorEastAsia"/>
          <w:sz w:val="24"/>
          <w:szCs w:val="24"/>
        </w:rPr>
        <w:t>操作方法，</w:t>
      </w:r>
      <w:r>
        <w:rPr>
          <w:rFonts w:hint="eastAsia" w:asciiTheme="minorEastAsia" w:hAnsiTheme="minorEastAsia" w:eastAsiaTheme="minorEastAsia"/>
          <w:sz w:val="24"/>
          <w:szCs w:val="24"/>
          <w:lang w:val="en-US" w:eastAsia="zh-CN"/>
        </w:rPr>
        <w:t>对无菌医疗器械产品灭菌后的无菌状态没有更好的控制，不能</w:t>
      </w:r>
      <w:r>
        <w:rPr>
          <w:rFonts w:hint="eastAsia" w:asciiTheme="minorEastAsia" w:hAnsiTheme="minorEastAsia" w:eastAsiaTheme="minorEastAsia"/>
          <w:sz w:val="24"/>
          <w:szCs w:val="24"/>
        </w:rPr>
        <w:t>熟练掌握无菌、微生物限度和阳性对照的检验能力，</w:t>
      </w:r>
      <w:r>
        <w:rPr>
          <w:rFonts w:hint="eastAsia" w:asciiTheme="minorEastAsia" w:hAnsiTheme="minorEastAsia" w:eastAsiaTheme="minorEastAsia"/>
          <w:sz w:val="24"/>
          <w:szCs w:val="24"/>
          <w:lang w:val="en-US" w:eastAsia="zh-CN"/>
        </w:rPr>
        <w:t>不能</w:t>
      </w:r>
      <w:r>
        <w:rPr>
          <w:rFonts w:hint="eastAsia" w:asciiTheme="minorEastAsia" w:hAnsiTheme="minorEastAsia" w:eastAsiaTheme="minorEastAsia"/>
          <w:sz w:val="24"/>
          <w:szCs w:val="24"/>
        </w:rPr>
        <w:t>保障医疗器械安全、有效的最直接体现。</w:t>
      </w:r>
    </w:p>
    <w:p w14:paraId="4E03A1E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起草无菌检验人员操作能力要求的一致性是</w:t>
      </w:r>
      <w:r>
        <w:rPr>
          <w:rFonts w:hint="eastAsia" w:asciiTheme="minorEastAsia" w:hAnsiTheme="minorEastAsia" w:eastAsiaTheme="minorEastAsia"/>
          <w:sz w:val="24"/>
          <w:szCs w:val="24"/>
        </w:rPr>
        <w:t>对于保障公众用械安全、支撑科学监管、促进医药产业高质量发展等提供紧跟国际前沿的技术支撑</w:t>
      </w:r>
      <w:r>
        <w:rPr>
          <w:rFonts w:hint="eastAsia" w:asciiTheme="minorEastAsia" w:hAnsiTheme="minorEastAsia" w:eastAsiaTheme="minorEastAsia"/>
          <w:sz w:val="24"/>
          <w:szCs w:val="24"/>
          <w:lang w:val="en-US" w:eastAsia="zh-CN"/>
        </w:rPr>
        <w:t>。</w:t>
      </w:r>
    </w:p>
    <w:p w14:paraId="105CD6B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因此，迫切需要建立医疗器械无菌检（化）员能力标准，对无菌医疗器械的合规有效实施，</w:t>
      </w:r>
      <w:r>
        <w:rPr>
          <w:rFonts w:hint="eastAsia" w:asciiTheme="minorEastAsia" w:hAnsiTheme="minorEastAsia" w:eastAsiaTheme="minorEastAsia"/>
          <w:sz w:val="24"/>
          <w:szCs w:val="24"/>
        </w:rPr>
        <w:t>保障</w:t>
      </w:r>
      <w:r>
        <w:rPr>
          <w:rFonts w:hint="eastAsia" w:asciiTheme="minorEastAsia" w:hAnsiTheme="minorEastAsia" w:eastAsiaTheme="minorEastAsia"/>
          <w:sz w:val="24"/>
          <w:szCs w:val="24"/>
          <w:lang w:val="en-US" w:eastAsia="zh-CN"/>
        </w:rPr>
        <w:t>无菌</w:t>
      </w:r>
      <w:r>
        <w:rPr>
          <w:rFonts w:hint="eastAsia" w:asciiTheme="minorEastAsia" w:hAnsiTheme="minorEastAsia" w:eastAsiaTheme="minorEastAsia"/>
          <w:sz w:val="24"/>
          <w:szCs w:val="24"/>
        </w:rPr>
        <w:t>医疗器械安全、有效的最直接体现。</w:t>
      </w:r>
    </w:p>
    <w:p w14:paraId="317F24B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sz w:val="24"/>
          <w:szCs w:val="24"/>
          <w:lang w:val="en-US" w:eastAsia="zh-CN"/>
        </w:rPr>
      </w:pPr>
      <w:r>
        <w:rPr>
          <w:rFonts w:hint="eastAsia" w:ascii="黑体" w:eastAsia="黑体"/>
          <w:sz w:val="24"/>
          <w:lang w:val="en-US" w:eastAsia="zh-CN"/>
        </w:rPr>
        <w:t>2.</w:t>
      </w:r>
      <w:r>
        <w:rPr>
          <w:rFonts w:hint="eastAsia" w:ascii="黑体" w:eastAsia="黑体"/>
          <w:sz w:val="24"/>
        </w:rPr>
        <w:t>协作单位</w:t>
      </w:r>
    </w:p>
    <w:p w14:paraId="2DDEE09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黑体" w:eastAsia="黑体"/>
          <w:sz w:val="24"/>
          <w:lang w:val="en-US" w:eastAsia="zh-CN"/>
        </w:rPr>
      </w:pPr>
      <w:r>
        <w:rPr>
          <w:rFonts w:hint="eastAsia" w:asciiTheme="minorEastAsia" w:hAnsiTheme="minorEastAsia" w:eastAsiaTheme="minorEastAsia"/>
          <w:sz w:val="24"/>
          <w:szCs w:val="24"/>
          <w:lang w:val="en-US" w:eastAsia="zh-CN"/>
        </w:rPr>
        <w:t>瀚芯医疗科技（深圳）有限公司、北京融智飞天教育科技有限公司、上海微谱检测科技集团股份有限公司、北京康派特医疗器械有限公司、熠品（贵阳）质量科技有限公司、东莞市英硕医用包装科技有限公司、江西德天医药技术开发有限公司、上海鼎峰教育科技有限公司</w:t>
      </w:r>
    </w:p>
    <w:p w14:paraId="070623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黑体" w:eastAsia="黑体"/>
          <w:sz w:val="24"/>
        </w:rPr>
      </w:pPr>
      <w:r>
        <w:rPr>
          <w:rFonts w:hint="eastAsia" w:ascii="黑体" w:eastAsia="黑体"/>
          <w:sz w:val="24"/>
          <w:lang w:val="en-US" w:eastAsia="zh-CN"/>
        </w:rPr>
        <w:t>3.</w:t>
      </w:r>
      <w:r>
        <w:rPr>
          <w:rFonts w:hint="eastAsia" w:ascii="黑体" w:eastAsia="黑体"/>
          <w:sz w:val="24"/>
        </w:rPr>
        <w:t>主要工作</w:t>
      </w:r>
    </w:p>
    <w:p w14:paraId="265F20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ascii="黑体" w:eastAsia="黑体"/>
          <w:sz w:val="24"/>
        </w:rPr>
      </w:pPr>
      <w:r>
        <w:rPr>
          <w:rFonts w:hint="eastAsia" w:ascii="黑体" w:eastAsia="黑体"/>
          <w:sz w:val="24"/>
        </w:rPr>
        <w:t>起草阶段：</w:t>
      </w:r>
    </w:p>
    <w:p w14:paraId="14C5C3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月，成立标准起草工作组。</w:t>
      </w:r>
    </w:p>
    <w:p w14:paraId="70AF5C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月，搜集国内外有关</w:t>
      </w:r>
      <w:r>
        <w:rPr>
          <w:rFonts w:hint="eastAsia" w:asciiTheme="minorEastAsia" w:hAnsiTheme="minorEastAsia" w:eastAsiaTheme="minorEastAsia"/>
          <w:sz w:val="24"/>
          <w:szCs w:val="24"/>
          <w:lang w:val="en-US" w:eastAsia="zh-CN"/>
        </w:rPr>
        <w:t>参考文献与标准</w:t>
      </w:r>
      <w:r>
        <w:rPr>
          <w:rFonts w:hint="eastAsia" w:asciiTheme="minorEastAsia" w:hAnsiTheme="minorEastAsia" w:eastAsiaTheme="minorEastAsia"/>
          <w:sz w:val="24"/>
          <w:szCs w:val="24"/>
        </w:rPr>
        <w:t>，结合</w:t>
      </w:r>
      <w:r>
        <w:rPr>
          <w:rFonts w:hint="eastAsia" w:asciiTheme="minorEastAsia" w:hAnsiTheme="minorEastAsia" w:eastAsiaTheme="minorEastAsia"/>
          <w:sz w:val="24"/>
          <w:szCs w:val="24"/>
          <w:lang w:val="en-US" w:eastAsia="zh-CN"/>
        </w:rPr>
        <w:t>无菌医疗器械生产企业操作规程</w:t>
      </w:r>
      <w:r>
        <w:rPr>
          <w:rFonts w:hint="eastAsia" w:asciiTheme="minorEastAsia" w:hAnsiTheme="minorEastAsia" w:eastAsiaTheme="minorEastAsia"/>
          <w:sz w:val="24"/>
          <w:szCs w:val="24"/>
        </w:rPr>
        <w:t>，起草标准草案。</w:t>
      </w:r>
    </w:p>
    <w:p w14:paraId="2A45EEF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月，按照中国食品药品企业质量安全促进会团标管理办法要求，</w:t>
      </w:r>
      <w:r>
        <w:rPr>
          <w:rFonts w:hint="eastAsia" w:asciiTheme="minorEastAsia" w:hAnsiTheme="minorEastAsia" w:eastAsiaTheme="minorEastAsia"/>
          <w:sz w:val="24"/>
          <w:szCs w:val="24"/>
          <w:lang w:val="en-US" w:eastAsia="zh-CN"/>
        </w:rPr>
        <w:t>万征集意见</w:t>
      </w:r>
      <w:r>
        <w:rPr>
          <w:rFonts w:hint="eastAsia" w:asciiTheme="minorEastAsia" w:hAnsiTheme="minorEastAsia" w:eastAsiaTheme="minorEastAsia"/>
          <w:sz w:val="24"/>
          <w:szCs w:val="24"/>
        </w:rPr>
        <w:t>材料</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提出标准的征集意见稿。</w:t>
      </w:r>
    </w:p>
    <w:p w14:paraId="6087AD5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黑体" w:eastAsia="黑体"/>
          <w:sz w:val="24"/>
          <w:lang w:val="en-US" w:eastAsia="zh-CN"/>
        </w:rPr>
      </w:pPr>
      <w:r>
        <w:rPr>
          <w:rFonts w:hint="eastAsia" w:ascii="黑体" w:eastAsia="黑体"/>
          <w:sz w:val="24"/>
        </w:rPr>
        <w:t>征求意见阶段：</w:t>
      </w:r>
      <w:r>
        <w:rPr>
          <w:rFonts w:hint="eastAsia" w:asciiTheme="minorEastAsia" w:hAnsiTheme="minorEastAsia" w:eastAsiaTheme="minorEastAsia"/>
          <w:sz w:val="24"/>
          <w:szCs w:val="24"/>
          <w:lang w:val="en-US" w:eastAsia="zh-CN"/>
        </w:rPr>
        <w:t>2025年8月提出征集意见稿</w:t>
      </w:r>
    </w:p>
    <w:p w14:paraId="2ABA83B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黑体" w:eastAsia="黑体"/>
          <w:sz w:val="24"/>
          <w:lang w:val="en-US"/>
        </w:rPr>
      </w:pPr>
      <w:r>
        <w:rPr>
          <w:rFonts w:hint="eastAsia" w:ascii="黑体" w:eastAsia="黑体"/>
          <w:sz w:val="24"/>
        </w:rPr>
        <w:t>审查阶段：</w:t>
      </w:r>
      <w:r>
        <w:rPr>
          <w:rFonts w:hint="eastAsia" w:asciiTheme="minorEastAsia" w:hAnsiTheme="minorEastAsia" w:eastAsiaTheme="minorEastAsia"/>
          <w:sz w:val="24"/>
          <w:szCs w:val="24"/>
          <w:lang w:val="en-US" w:eastAsia="zh-CN"/>
        </w:rPr>
        <w:t>2025年10月组织专家审查</w:t>
      </w:r>
    </w:p>
    <w:p w14:paraId="11FEC7D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heme="minorEastAsia" w:hAnsiTheme="minorEastAsia" w:eastAsiaTheme="minorEastAsia"/>
          <w:sz w:val="24"/>
          <w:lang w:val="en-US"/>
        </w:rPr>
      </w:pPr>
      <w:r>
        <w:rPr>
          <w:rFonts w:hint="eastAsia" w:ascii="黑体" w:eastAsia="黑体"/>
          <w:sz w:val="24"/>
        </w:rPr>
        <w:t>报批阶段：</w:t>
      </w:r>
      <w:r>
        <w:rPr>
          <w:rFonts w:hint="eastAsia" w:asciiTheme="minorEastAsia" w:hAnsiTheme="minorEastAsia" w:eastAsiaTheme="minorEastAsia"/>
          <w:sz w:val="24"/>
          <w:szCs w:val="24"/>
          <w:lang w:val="en-US" w:eastAsia="zh-CN"/>
        </w:rPr>
        <w:t>2025年11月完成报送稿</w:t>
      </w:r>
    </w:p>
    <w:p w14:paraId="42CC272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黑体" w:eastAsia="黑体"/>
          <w:sz w:val="24"/>
        </w:rPr>
      </w:pPr>
      <w:r>
        <w:rPr>
          <w:rFonts w:hint="eastAsia" w:ascii="黑体" w:eastAsia="黑体"/>
          <w:sz w:val="24"/>
        </w:rPr>
        <w:t>4.团体标准主要起草人及其所承担的工作</w:t>
      </w:r>
    </w:p>
    <w:p w14:paraId="4E48913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rPr>
      </w:pPr>
      <w:r>
        <w:rPr>
          <w:rFonts w:hint="eastAsia" w:asciiTheme="minorEastAsia" w:hAnsiTheme="minorEastAsia" w:eastAsiaTheme="minorEastAsia"/>
          <w:sz w:val="24"/>
          <w:szCs w:val="24"/>
          <w:lang w:val="en-US" w:eastAsia="zh-CN"/>
        </w:rPr>
        <w:t>本标准主要起草人：谢琦宗、吴海明、李冠桦、赵冬强、陈红江、赵文彬、徐金星、李雨波、刘晓臣、陈红、阳玉桃、刘俊卿</w:t>
      </w:r>
    </w:p>
    <w:p w14:paraId="654D1E0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黑体" w:eastAsia="黑体"/>
          <w:sz w:val="24"/>
          <w:lang w:val="en-US"/>
        </w:rPr>
      </w:pPr>
      <w:r>
        <w:rPr>
          <w:rFonts w:hint="eastAsia" w:asciiTheme="minorEastAsia" w:hAnsiTheme="minorEastAsia" w:eastAsiaTheme="minorEastAsia"/>
          <w:sz w:val="24"/>
          <w:szCs w:val="24"/>
          <w:lang w:val="en-US" w:eastAsia="zh-CN"/>
        </w:rPr>
        <w:t>承担的工作：对国内外文献搜集，征集无菌医疗器械企业检验方法，组织无菌医疗器械企业目前操作规程的建议与创立方法等</w:t>
      </w:r>
    </w:p>
    <w:p w14:paraId="127D5431">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ascii="黑体" w:eastAsia="黑体"/>
          <w:sz w:val="24"/>
        </w:rPr>
      </w:pPr>
      <w:r>
        <w:rPr>
          <w:rFonts w:hint="eastAsia" w:ascii="黑体" w:eastAsia="黑体"/>
          <w:sz w:val="24"/>
        </w:rPr>
        <w:t>二、标准编制原则和确定标准主要内容的依据</w:t>
      </w:r>
    </w:p>
    <w:p w14:paraId="3E466137">
      <w:pPr>
        <w:keepNext w:val="0"/>
        <w:keepLines w:val="0"/>
        <w:pageBreakBefore w:val="0"/>
        <w:widowControl w:val="0"/>
        <w:kinsoku/>
        <w:wordWrap/>
        <w:overflowPunct/>
        <w:topLinePunct w:val="0"/>
        <w:autoSpaceDE/>
        <w:autoSpaceDN/>
        <w:bidi w:val="0"/>
        <w:adjustRightInd/>
        <w:spacing w:line="500" w:lineRule="exact"/>
        <w:ind w:left="0" w:leftChars="0" w:firstLine="480" w:firstLineChars="200"/>
        <w:textAlignment w:val="auto"/>
        <w:rPr>
          <w:rFonts w:ascii="黑体" w:eastAsia="黑体"/>
          <w:sz w:val="24"/>
        </w:rPr>
      </w:pPr>
      <w:r>
        <w:rPr>
          <w:rFonts w:hint="eastAsia" w:ascii="黑体" w:eastAsia="黑体"/>
          <w:sz w:val="24"/>
        </w:rPr>
        <w:t xml:space="preserve">1、标准编制原则 </w:t>
      </w:r>
    </w:p>
    <w:p w14:paraId="1589F166">
      <w:pPr>
        <w:keepNext w:val="0"/>
        <w:keepLines w:val="0"/>
        <w:pageBreakBefore w:val="0"/>
        <w:widowControl w:val="0"/>
        <w:kinsoku/>
        <w:wordWrap/>
        <w:overflowPunct/>
        <w:topLinePunct w:val="0"/>
        <w:autoSpaceDE/>
        <w:autoSpaceDN/>
        <w:bidi w:val="0"/>
        <w:adjustRightInd/>
        <w:spacing w:line="500" w:lineRule="exact"/>
        <w:ind w:left="0" w:leftChars="0" w:firstLine="480" w:firstLineChars="200"/>
        <w:textAlignment w:val="auto"/>
        <w:rPr>
          <w:rFonts w:hint="eastAsia" w:ascii="ˎ̥" w:hAnsi="ˎ̥"/>
          <w:sz w:val="24"/>
        </w:rPr>
      </w:pPr>
      <w:r>
        <w:rPr>
          <w:rFonts w:ascii="ˎ̥" w:hAnsi="ˎ̥"/>
          <w:sz w:val="24"/>
        </w:rPr>
        <w:t xml:space="preserve">    </w:t>
      </w:r>
      <w:r>
        <w:rPr>
          <w:rFonts w:hint="eastAsia" w:ascii="ˎ̥" w:hAnsi="ˎ̥"/>
          <w:sz w:val="24"/>
        </w:rPr>
        <w:t>本标准的制定符合</w:t>
      </w:r>
      <w:r>
        <w:rPr>
          <w:rFonts w:hint="eastAsia" w:ascii="ˎ̥" w:hAnsi="ˎ̥"/>
          <w:sz w:val="24"/>
          <w:lang w:val="en-US" w:eastAsia="zh-CN"/>
        </w:rPr>
        <w:t>国家法规要求及</w:t>
      </w:r>
      <w:r>
        <w:rPr>
          <w:rFonts w:hint="eastAsia" w:ascii="ˎ̥" w:hAnsi="ˎ̥"/>
          <w:sz w:val="24"/>
        </w:rPr>
        <w:t>产业发展的原则，本着先进性、科学性、合理性和可操作性的原则</w:t>
      </w:r>
      <w:r>
        <w:rPr>
          <w:rFonts w:hint="eastAsia" w:ascii="ˎ̥" w:hAnsi="ˎ̥"/>
          <w:sz w:val="24"/>
          <w:lang w:eastAsia="zh-CN"/>
        </w:rPr>
        <w:t>，</w:t>
      </w:r>
      <w:r>
        <w:rPr>
          <w:rFonts w:hint="eastAsia" w:ascii="ˎ̥" w:hAnsi="ˎ̥"/>
          <w:sz w:val="24"/>
        </w:rPr>
        <w:t>以及标准的目标、统一性、协调性、适用性、一致性和规范性原则来进行本标准的制定工作。</w:t>
      </w:r>
    </w:p>
    <w:p w14:paraId="4C02D0C3">
      <w:pPr>
        <w:keepNext w:val="0"/>
        <w:keepLines w:val="0"/>
        <w:pageBreakBefore w:val="0"/>
        <w:widowControl w:val="0"/>
        <w:kinsoku/>
        <w:wordWrap/>
        <w:overflowPunct/>
        <w:topLinePunct w:val="0"/>
        <w:autoSpaceDE/>
        <w:autoSpaceDN/>
        <w:bidi w:val="0"/>
        <w:adjustRightInd/>
        <w:spacing w:line="500" w:lineRule="exact"/>
        <w:ind w:left="0" w:leftChars="0" w:firstLine="480" w:firstLineChars="200"/>
        <w:textAlignment w:val="auto"/>
        <w:rPr>
          <w:rFonts w:hint="eastAsia" w:ascii="ˎ̥" w:hAnsi="ˎ̥"/>
          <w:sz w:val="24"/>
        </w:rPr>
      </w:pPr>
      <w:r>
        <w:rPr>
          <w:rFonts w:hint="eastAsia" w:ascii="ˎ̥" w:hAnsi="ˎ̥"/>
          <w:sz w:val="24"/>
        </w:rPr>
        <w:t>本标准起草过程中，主要按GB/T 1.1</w:t>
      </w:r>
      <w:r>
        <w:rPr>
          <w:rFonts w:hint="eastAsia"/>
        </w:rPr>
        <w:t>－</w:t>
      </w:r>
      <w:r>
        <w:rPr>
          <w:rFonts w:hint="eastAsia" w:ascii="ˎ̥" w:hAnsi="ˎ̥"/>
          <w:sz w:val="24"/>
        </w:rPr>
        <w:t xml:space="preserve">2020《标准化工作导则 </w:t>
      </w:r>
      <w:r>
        <w:rPr>
          <w:rFonts w:hint="eastAsia" w:ascii="ˎ̥" w:hAnsi="ˎ̥"/>
          <w:sz w:val="24"/>
          <w:lang w:val="en-US" w:eastAsia="zh-CN"/>
        </w:rPr>
        <w:t xml:space="preserve"> </w:t>
      </w:r>
      <w:r>
        <w:rPr>
          <w:rFonts w:hint="eastAsia" w:ascii="ˎ̥" w:hAnsi="ˎ̥"/>
          <w:sz w:val="24"/>
        </w:rPr>
        <w:t>第1部分：标准化文件的结构和起草规则》进行编写。</w:t>
      </w:r>
    </w:p>
    <w:p w14:paraId="73FF3058">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本标准制定过程中，引用或参考了以下标准或文件：</w:t>
      </w:r>
    </w:p>
    <w:p w14:paraId="2125070C">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《医疗器械监督管理条例》</w:t>
      </w:r>
    </w:p>
    <w:p w14:paraId="248C255D">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《医疗器械生产质量管理规范》</w:t>
      </w:r>
    </w:p>
    <w:p w14:paraId="2F8217A2">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《医疗器械生产质量管理规范》《附录无菌医疗器械》、《附录植入性医疗器械》</w:t>
      </w:r>
    </w:p>
    <w:p w14:paraId="2CD17A32">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《2025年版中国药典》</w:t>
      </w:r>
    </w:p>
    <w:p w14:paraId="7B49898E">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YY/T 0033《无菌医疗器具生产管理规范》</w:t>
      </w:r>
    </w:p>
    <w:p w14:paraId="4F2F1208">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GB/T 16292“医药工业洁净室（区）悬浮粒子的测试方法”</w:t>
      </w:r>
    </w:p>
    <w:p w14:paraId="5BD3AA13">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GB/T 16293“医药工业洁净室（区）浮游菌的测试方法”</w:t>
      </w:r>
    </w:p>
    <w:p w14:paraId="62308DB1">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GB/T 16294“医药工业洁净室（区）沉降菌的测试方法”</w:t>
      </w:r>
    </w:p>
    <w:p w14:paraId="7BB8A3A0">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GB 50591《洁净室施工及验收规范》</w:t>
      </w:r>
    </w:p>
    <w:p w14:paraId="756A39A4">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GB/T 27405“实验室质量控制规范食品微生物检测”</w:t>
      </w:r>
    </w:p>
    <w:p w14:paraId="073246FC">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ISO11607-1“材料、消毒阻挡系统和包装系统的要求”</w:t>
      </w:r>
    </w:p>
    <w:p w14:paraId="2ED9F582">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ASTM D3078“使用气泡发射测定软包装泄露的实验方法”</w:t>
      </w:r>
    </w:p>
    <w:p w14:paraId="7AAC4C66">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ASTM F2096“内压法检测粗大泄露”(气泡法)</w:t>
      </w:r>
    </w:p>
    <w:p w14:paraId="3EFBCC88">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ASTM F1886“目力检测医用包装密封完整性”</w:t>
      </w:r>
    </w:p>
    <w:p w14:paraId="5CE25166">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ASTM F1929“染色渗透液检测多孔医疗器械密封泄露的标准方法”</w:t>
      </w:r>
    </w:p>
    <w:p w14:paraId="7159A7A5">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ISO 11737-1“医疗器械灭菌 微生物学方法 第1部分 产品上微生物群落的测定”</w:t>
      </w:r>
    </w:p>
    <w:p w14:paraId="17814CDF">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GB/T 6682“分析实验室用水规格和试验方法”</w:t>
      </w:r>
    </w:p>
    <w:p w14:paraId="2D6B4151">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ascii="ˎ̥" w:hAnsi="ˎ̥"/>
          <w:sz w:val="24"/>
          <w:lang w:eastAsia="zh-CN"/>
        </w:rPr>
      </w:pPr>
      <w:r>
        <w:rPr>
          <w:rFonts w:hint="eastAsia"/>
          <w:sz w:val="24"/>
          <w:lang w:val="en-US" w:eastAsia="zh-CN"/>
        </w:rPr>
        <w:t>GB/T 16886.7“医疗器械生物学评价第7部分环氧乙烷灭菌残留量”</w:t>
      </w:r>
    </w:p>
    <w:p w14:paraId="5941C82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黑体" w:eastAsia="黑体"/>
          <w:sz w:val="24"/>
        </w:rPr>
      </w:pPr>
      <w:r>
        <w:rPr>
          <w:rFonts w:hint="eastAsia" w:ascii="黑体" w:eastAsia="黑体"/>
          <w:sz w:val="24"/>
        </w:rPr>
        <w:t>2、确定标准主要内容的依据</w:t>
      </w:r>
    </w:p>
    <w:p w14:paraId="0FAB6A83">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eastAsia="zh-CN"/>
        </w:rPr>
      </w:pPr>
      <w:r>
        <w:rPr>
          <w:rFonts w:hint="eastAsia"/>
          <w:sz w:val="24"/>
          <w:lang w:eastAsia="zh-CN"/>
        </w:rPr>
        <w:t>本</w:t>
      </w:r>
      <w:r>
        <w:rPr>
          <w:rFonts w:hint="eastAsia"/>
          <w:sz w:val="24"/>
          <w:lang w:val="en-US" w:eastAsia="zh-CN"/>
        </w:rPr>
        <w:t>标准</w:t>
      </w:r>
      <w:r>
        <w:rPr>
          <w:rFonts w:hint="eastAsia"/>
          <w:sz w:val="24"/>
          <w:lang w:eastAsia="zh-CN"/>
        </w:rPr>
        <w:t>规定了</w:t>
      </w:r>
      <w:r>
        <w:rPr>
          <w:rFonts w:hint="eastAsia"/>
          <w:sz w:val="24"/>
          <w:lang w:val="en-US" w:eastAsia="zh-CN"/>
        </w:rPr>
        <w:t>无菌检验所需要的试剂要求</w:t>
      </w:r>
      <w:r>
        <w:rPr>
          <w:rFonts w:hint="eastAsia"/>
          <w:sz w:val="24"/>
          <w:lang w:eastAsia="zh-CN"/>
        </w:rPr>
        <w:t>、</w:t>
      </w:r>
      <w:r>
        <w:rPr>
          <w:rFonts w:hint="eastAsia"/>
          <w:sz w:val="24"/>
          <w:lang w:val="en-US" w:eastAsia="zh-CN"/>
        </w:rPr>
        <w:t>试验器具要求、检验次序</w:t>
      </w:r>
      <w:r>
        <w:rPr>
          <w:rFonts w:hint="eastAsia"/>
          <w:sz w:val="24"/>
          <w:lang w:eastAsia="zh-CN"/>
        </w:rPr>
        <w:t>要求、</w:t>
      </w:r>
      <w:r>
        <w:rPr>
          <w:rFonts w:hint="eastAsia"/>
          <w:sz w:val="24"/>
          <w:lang w:val="en-US" w:eastAsia="zh-CN"/>
        </w:rPr>
        <w:t>数据统计</w:t>
      </w:r>
      <w:r>
        <w:rPr>
          <w:rFonts w:hint="eastAsia"/>
          <w:sz w:val="24"/>
          <w:lang w:eastAsia="zh-CN"/>
        </w:rPr>
        <w:t>要求、</w:t>
      </w:r>
      <w:r>
        <w:rPr>
          <w:rFonts w:hint="eastAsia"/>
          <w:sz w:val="24"/>
          <w:lang w:val="en-US" w:eastAsia="zh-CN"/>
        </w:rPr>
        <w:t>环境测试要求等描述了相应的测试方法</w:t>
      </w:r>
      <w:r>
        <w:rPr>
          <w:rFonts w:hint="eastAsia"/>
          <w:sz w:val="24"/>
          <w:lang w:eastAsia="zh-CN"/>
        </w:rPr>
        <w:t xml:space="preserve">。 </w:t>
      </w:r>
    </w:p>
    <w:p w14:paraId="17BF14A8">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（1）术语和定义</w:t>
      </w:r>
    </w:p>
    <w:p w14:paraId="08026B52">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eastAsia="zh-CN"/>
        </w:rPr>
      </w:pPr>
      <w:bookmarkStart w:id="2" w:name="_Toc5238"/>
      <w:bookmarkEnd w:id="2"/>
      <w:bookmarkStart w:id="3" w:name="_Toc31721"/>
      <w:bookmarkEnd w:id="3"/>
      <w:bookmarkStart w:id="4" w:name="_Toc39659931"/>
      <w:bookmarkEnd w:id="4"/>
      <w:r>
        <w:rPr>
          <w:rFonts w:hint="eastAsia"/>
          <w:sz w:val="24"/>
          <w:lang w:val="en-US" w:eastAsia="zh-CN"/>
        </w:rPr>
        <w:t>无菌检验方法的定义参考企业操作规程，以</w:t>
      </w:r>
      <w:r>
        <w:rPr>
          <w:rFonts w:hint="eastAsia"/>
          <w:sz w:val="24"/>
          <w:lang w:eastAsia="zh-CN"/>
        </w:rPr>
        <w:t>培养基</w:t>
      </w:r>
      <w:r>
        <w:rPr>
          <w:rFonts w:hint="eastAsia"/>
          <w:sz w:val="24"/>
          <w:lang w:val="en-US" w:eastAsia="zh-CN"/>
        </w:rPr>
        <w:t>为原料</w:t>
      </w:r>
      <w:r>
        <w:rPr>
          <w:rFonts w:hint="eastAsia"/>
          <w:sz w:val="24"/>
          <w:lang w:eastAsia="zh-CN"/>
        </w:rPr>
        <w:t>，将</w:t>
      </w:r>
      <w:r>
        <w:rPr>
          <w:rFonts w:hint="eastAsia"/>
          <w:sz w:val="24"/>
          <w:lang w:val="en-US" w:eastAsia="zh-CN"/>
        </w:rPr>
        <w:t>无菌产品通过培养真菌</w:t>
      </w:r>
      <w:r>
        <w:rPr>
          <w:rFonts w:hint="eastAsia"/>
          <w:sz w:val="24"/>
          <w:lang w:eastAsia="zh-CN"/>
        </w:rPr>
        <w:t>，</w:t>
      </w:r>
      <w:r>
        <w:rPr>
          <w:rFonts w:hint="eastAsia"/>
          <w:sz w:val="24"/>
          <w:lang w:val="en-US" w:eastAsia="zh-CN"/>
        </w:rPr>
        <w:t>再将菌种移植到产品然后通过灭菌后对产品的无菌及灭菌残留量进行测试，确保符合无菌状态</w:t>
      </w:r>
      <w:r>
        <w:rPr>
          <w:rFonts w:hint="eastAsia"/>
          <w:sz w:val="24"/>
          <w:lang w:eastAsia="zh-CN"/>
        </w:rPr>
        <w:t>。</w:t>
      </w:r>
      <w:bookmarkStart w:id="5" w:name="_Toc2604"/>
      <w:bookmarkEnd w:id="5"/>
      <w:bookmarkStart w:id="6" w:name="_Toc1593"/>
      <w:bookmarkEnd w:id="6"/>
    </w:p>
    <w:p w14:paraId="2E83E4FA">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（2）检验使用辅料要求</w:t>
      </w:r>
    </w:p>
    <w:p w14:paraId="68A6A3E3">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原辅料应符合相关国行标的规定，具体是：</w:t>
      </w:r>
    </w:p>
    <w:p w14:paraId="460C5B60">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1.培养基符合中国药典要求；</w:t>
      </w:r>
    </w:p>
    <w:p w14:paraId="1B964DA0">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eastAsia="zh-CN"/>
        </w:rPr>
      </w:pPr>
      <w:r>
        <w:rPr>
          <w:rFonts w:hint="eastAsia"/>
          <w:sz w:val="24"/>
          <w:lang w:val="en-US" w:eastAsia="zh-CN"/>
        </w:rPr>
        <w:t>2.仪器设备符合计量校准要求</w:t>
      </w:r>
      <w:r>
        <w:rPr>
          <w:rFonts w:hint="eastAsia"/>
          <w:sz w:val="24"/>
          <w:lang w:eastAsia="zh-CN"/>
        </w:rPr>
        <w:t>；</w:t>
      </w:r>
    </w:p>
    <w:p w14:paraId="1169B9F9">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eastAsia="zh-CN"/>
        </w:rPr>
      </w:pPr>
      <w:r>
        <w:rPr>
          <w:rFonts w:hint="eastAsia"/>
          <w:sz w:val="24"/>
          <w:lang w:val="en-US" w:eastAsia="zh-CN"/>
        </w:rPr>
        <w:t>3.</w:t>
      </w:r>
      <w:r>
        <w:rPr>
          <w:rFonts w:hint="eastAsia"/>
          <w:sz w:val="24"/>
          <w:lang w:eastAsia="zh-CN"/>
        </w:rPr>
        <w:t>其他原辅料应符合相应国家、行业标准要求；</w:t>
      </w:r>
    </w:p>
    <w:p w14:paraId="132460DA">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（3）检验过程要求</w:t>
      </w:r>
    </w:p>
    <w:p w14:paraId="0B4A7010">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default"/>
          <w:sz w:val="24"/>
          <w:lang w:val="en-US" w:eastAsia="zh-CN"/>
        </w:rPr>
        <w:t>1.</w:t>
      </w:r>
      <w:r>
        <w:rPr>
          <w:rFonts w:hint="eastAsia"/>
          <w:sz w:val="24"/>
          <w:lang w:val="en-US" w:eastAsia="zh-CN"/>
        </w:rPr>
        <w:t>对真菌进行培养，会使用培养基及基本的培养操作；</w:t>
      </w:r>
    </w:p>
    <w:p w14:paraId="268C7058">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2.对产品进行无菌的检验，会检验方法，会操作检验仪器</w:t>
      </w:r>
      <w:r>
        <w:rPr>
          <w:rFonts w:hint="default"/>
          <w:sz w:val="24"/>
          <w:lang w:val="en-US" w:eastAsia="zh-CN"/>
        </w:rPr>
        <w:t>；</w:t>
      </w:r>
    </w:p>
    <w:p w14:paraId="166EC36E">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3</w:t>
      </w:r>
      <w:r>
        <w:rPr>
          <w:rFonts w:hint="default"/>
          <w:sz w:val="24"/>
          <w:lang w:val="en-US" w:eastAsia="zh-CN"/>
        </w:rPr>
        <w:t xml:space="preserve">. </w:t>
      </w:r>
      <w:r>
        <w:rPr>
          <w:rFonts w:hint="eastAsia"/>
          <w:sz w:val="24"/>
          <w:lang w:val="en-US" w:eastAsia="zh-CN"/>
        </w:rPr>
        <w:t>对检验中</w:t>
      </w:r>
      <w:r>
        <w:rPr>
          <w:rFonts w:hint="default"/>
          <w:sz w:val="24"/>
          <w:lang w:val="en-US" w:eastAsia="zh-CN"/>
        </w:rPr>
        <w:t>回收率/校正因子的计算确认、供试品计数方法适用性试验、</w:t>
      </w:r>
      <w:r>
        <w:rPr>
          <w:rFonts w:hint="eastAsia"/>
          <w:sz w:val="24"/>
          <w:lang w:val="en-US" w:eastAsia="zh-CN"/>
        </w:rPr>
        <w:t>对</w:t>
      </w:r>
      <w:r>
        <w:rPr>
          <w:rFonts w:hint="default"/>
          <w:sz w:val="24"/>
          <w:lang w:val="en-US" w:eastAsia="zh-CN"/>
        </w:rPr>
        <w:t>结果判读；</w:t>
      </w:r>
    </w:p>
    <w:p w14:paraId="30CF4F33">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4</w:t>
      </w:r>
      <w:r>
        <w:rPr>
          <w:rFonts w:hint="default"/>
          <w:sz w:val="24"/>
          <w:lang w:val="en-US" w:eastAsia="zh-CN"/>
        </w:rPr>
        <w:t>. 微生物实验室标准菌株管理、试验用菌株的传代、菌悬液的制备</w:t>
      </w:r>
      <w:r>
        <w:rPr>
          <w:rFonts w:hint="eastAsia"/>
          <w:sz w:val="24"/>
          <w:lang w:val="en-US" w:eastAsia="zh-CN"/>
        </w:rPr>
        <w:t>等</w:t>
      </w:r>
      <w:r>
        <w:rPr>
          <w:rFonts w:hint="default"/>
          <w:sz w:val="24"/>
          <w:lang w:val="en-US" w:eastAsia="zh-CN"/>
        </w:rPr>
        <w:t>；</w:t>
      </w:r>
    </w:p>
    <w:p w14:paraId="77D0A54B">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5</w:t>
      </w:r>
      <w:r>
        <w:rPr>
          <w:rFonts w:hint="default"/>
          <w:sz w:val="24"/>
          <w:lang w:val="en-US" w:eastAsia="zh-CN"/>
        </w:rPr>
        <w:t>. 《中国药典》、ISO11737-1 微生物转移技术与微生物计数要求；</w:t>
      </w:r>
    </w:p>
    <w:p w14:paraId="420872D5">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6</w:t>
      </w:r>
      <w:r>
        <w:rPr>
          <w:rFonts w:hint="default"/>
          <w:sz w:val="24"/>
          <w:lang w:val="en-US" w:eastAsia="zh-CN"/>
        </w:rPr>
        <w:t>. 《中国药典》无菌检查方法适用性试验、抑菌成分辨识与去除；</w:t>
      </w:r>
    </w:p>
    <w:p w14:paraId="22F9D049">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7</w:t>
      </w:r>
      <w:r>
        <w:rPr>
          <w:rFonts w:hint="default"/>
          <w:sz w:val="24"/>
          <w:lang w:val="en-US" w:eastAsia="zh-CN"/>
        </w:rPr>
        <w:t>. 依据YY0033沉降菌、浮游菌等检测技术指标</w:t>
      </w:r>
      <w:r>
        <w:rPr>
          <w:rFonts w:hint="eastAsia"/>
          <w:sz w:val="24"/>
          <w:lang w:val="en-US" w:eastAsia="zh-CN"/>
        </w:rPr>
        <w:t>要求（按照级别要求测定）</w:t>
      </w:r>
      <w:r>
        <w:rPr>
          <w:rFonts w:hint="default"/>
          <w:sz w:val="24"/>
          <w:lang w:val="en-US" w:eastAsia="zh-CN"/>
        </w:rPr>
        <w:t>；</w:t>
      </w:r>
    </w:p>
    <w:p w14:paraId="081EED1F">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8</w:t>
      </w:r>
      <w:r>
        <w:rPr>
          <w:rFonts w:hint="default"/>
          <w:sz w:val="24"/>
          <w:lang w:val="en-US" w:eastAsia="zh-CN"/>
        </w:rPr>
        <w:t xml:space="preserve">. </w:t>
      </w:r>
      <w:r>
        <w:rPr>
          <w:rFonts w:hint="eastAsia"/>
          <w:sz w:val="24"/>
          <w:lang w:val="en-US" w:eastAsia="zh-CN"/>
        </w:rPr>
        <w:t>对</w:t>
      </w:r>
      <w:r>
        <w:rPr>
          <w:rFonts w:hint="default"/>
          <w:sz w:val="24"/>
          <w:lang w:val="en-US" w:eastAsia="zh-CN"/>
        </w:rPr>
        <w:t>洁净间</w:t>
      </w:r>
      <w:r>
        <w:rPr>
          <w:rFonts w:hint="eastAsia"/>
          <w:sz w:val="24"/>
          <w:lang w:val="en-US" w:eastAsia="zh-CN"/>
        </w:rPr>
        <w:t>及</w:t>
      </w:r>
      <w:r>
        <w:rPr>
          <w:rFonts w:hint="default"/>
          <w:sz w:val="24"/>
          <w:lang w:val="en-US" w:eastAsia="zh-CN"/>
        </w:rPr>
        <w:t>生物安全柜</w:t>
      </w:r>
      <w:r>
        <w:rPr>
          <w:rFonts w:hint="eastAsia"/>
          <w:sz w:val="24"/>
          <w:lang w:val="en-US" w:eastAsia="zh-CN"/>
        </w:rPr>
        <w:t>使用与检测</w:t>
      </w:r>
      <w:r>
        <w:rPr>
          <w:rFonts w:hint="default"/>
          <w:sz w:val="24"/>
          <w:lang w:val="en-US" w:eastAsia="zh-CN"/>
        </w:rPr>
        <w:t>要求；</w:t>
      </w:r>
    </w:p>
    <w:p w14:paraId="28849839">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9</w:t>
      </w:r>
      <w:r>
        <w:rPr>
          <w:rFonts w:hint="default"/>
          <w:sz w:val="24"/>
          <w:lang w:val="en-US" w:eastAsia="zh-CN"/>
        </w:rPr>
        <w:t>. 培养基</w:t>
      </w:r>
      <w:r>
        <w:rPr>
          <w:rFonts w:hint="eastAsia"/>
          <w:sz w:val="24"/>
          <w:lang w:val="en-US" w:eastAsia="zh-CN"/>
        </w:rPr>
        <w:t>的</w:t>
      </w:r>
      <w:r>
        <w:rPr>
          <w:rFonts w:hint="default"/>
          <w:sz w:val="24"/>
          <w:lang w:val="en-US" w:eastAsia="zh-CN"/>
        </w:rPr>
        <w:t>验证、保存和制备、无菌性试验、灵敏度试验</w:t>
      </w:r>
      <w:r>
        <w:rPr>
          <w:rFonts w:hint="eastAsia"/>
          <w:sz w:val="24"/>
          <w:lang w:val="en-US" w:eastAsia="zh-CN"/>
        </w:rPr>
        <w:t>方法；</w:t>
      </w:r>
    </w:p>
    <w:p w14:paraId="31A5CCA9">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10</w:t>
      </w:r>
      <w:r>
        <w:rPr>
          <w:rFonts w:hint="default"/>
          <w:sz w:val="24"/>
          <w:lang w:val="en-US" w:eastAsia="zh-CN"/>
        </w:rPr>
        <w:t>. 鲎试剂灵敏度复核试验、干扰试验及供试品细菌内毒素检查试验；</w:t>
      </w:r>
    </w:p>
    <w:p w14:paraId="444B66BF">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1</w:t>
      </w:r>
      <w:r>
        <w:rPr>
          <w:rFonts w:hint="default"/>
          <w:sz w:val="24"/>
          <w:lang w:val="en-US" w:eastAsia="zh-CN"/>
        </w:rPr>
        <w:t>1. 微生物屏障的评价方法（生物相容性检测、与预期灭菌过程的适应性等）；</w:t>
      </w:r>
    </w:p>
    <w:p w14:paraId="051C6A39">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1</w:t>
      </w:r>
      <w:r>
        <w:rPr>
          <w:rFonts w:hint="default"/>
          <w:sz w:val="24"/>
          <w:lang w:val="en-US" w:eastAsia="zh-CN"/>
        </w:rPr>
        <w:t>2. 灭菌器设备性能的确认；比色分析法测定EO的残留；气相色谱法测定EO残留</w:t>
      </w:r>
      <w:r>
        <w:rPr>
          <w:rFonts w:hint="eastAsia"/>
          <w:sz w:val="24"/>
          <w:lang w:val="en-US" w:eastAsia="zh-CN"/>
        </w:rPr>
        <w:t>方法</w:t>
      </w:r>
      <w:r>
        <w:rPr>
          <w:rFonts w:hint="default"/>
          <w:sz w:val="24"/>
          <w:lang w:val="en-US" w:eastAsia="zh-CN"/>
        </w:rPr>
        <w:t>；</w:t>
      </w:r>
    </w:p>
    <w:p w14:paraId="14FC190B">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default"/>
          <w:sz w:val="24"/>
          <w:lang w:val="en-US" w:eastAsia="zh-CN"/>
        </w:rPr>
      </w:pPr>
      <w:r>
        <w:rPr>
          <w:rFonts w:hint="eastAsia"/>
          <w:sz w:val="24"/>
          <w:lang w:val="en-US" w:eastAsia="zh-CN"/>
        </w:rPr>
        <w:t>1</w:t>
      </w:r>
      <w:r>
        <w:rPr>
          <w:rFonts w:hint="default"/>
          <w:sz w:val="24"/>
          <w:lang w:val="en-US" w:eastAsia="zh-CN"/>
        </w:rPr>
        <w:t>3. 工艺用水的制备流程及水质日常检测要求、工艺制水验证（DQ/IQ/OQ/PQ）；</w:t>
      </w:r>
    </w:p>
    <w:p w14:paraId="47D26A9D">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（4）质量要求</w:t>
      </w:r>
    </w:p>
    <w:p w14:paraId="4D7BBCF8">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1.检测方法独立操作；</w:t>
      </w:r>
    </w:p>
    <w:p w14:paraId="77466D53">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2.对检测样品的观察及数据统计方法；</w:t>
      </w:r>
    </w:p>
    <w:p w14:paraId="17A352B1">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3.对灭菌残留量的测试判断结果；</w:t>
      </w:r>
    </w:p>
    <w:p w14:paraId="55E76D1D">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4.对试验使用设施设备的验证与确认；</w:t>
      </w:r>
    </w:p>
    <w:p w14:paraId="26C9C5E4">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5.对灭菌方法的残留检测</w:t>
      </w:r>
    </w:p>
    <w:p w14:paraId="456C0D23">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6.对试验方法的SOP做好记录</w:t>
      </w:r>
    </w:p>
    <w:p w14:paraId="2084662B">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r>
        <w:rPr>
          <w:rFonts w:hint="eastAsia"/>
          <w:sz w:val="24"/>
          <w:lang w:val="en-US" w:eastAsia="zh-CN"/>
        </w:rPr>
        <w:t>7.对操作过的方法及记录做好评审（见下图）</w:t>
      </w:r>
    </w:p>
    <w:p w14:paraId="2738708A">
      <w:pPr>
        <w:pStyle w:val="2"/>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sz w:val="24"/>
          <w:lang w:val="en-US" w:eastAsia="zh-CN"/>
        </w:rPr>
      </w:pPr>
      <w:bookmarkStart w:id="7" w:name="_GoBack"/>
      <w:r>
        <w:drawing>
          <wp:anchor distT="0" distB="0" distL="114300" distR="114300" simplePos="0" relativeHeight="251660288" behindDoc="0" locked="0" layoutInCell="1" allowOverlap="1">
            <wp:simplePos x="0" y="0"/>
            <wp:positionH relativeFrom="column">
              <wp:posOffset>958850</wp:posOffset>
            </wp:positionH>
            <wp:positionV relativeFrom="paragraph">
              <wp:posOffset>34925</wp:posOffset>
            </wp:positionV>
            <wp:extent cx="3253105" cy="1890395"/>
            <wp:effectExtent l="0" t="0" r="10795" b="1905"/>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3253105" cy="1890395"/>
                    </a:xfrm>
                    <a:prstGeom prst="rect">
                      <a:avLst/>
                    </a:prstGeom>
                  </pic:spPr>
                </pic:pic>
              </a:graphicData>
            </a:graphic>
          </wp:anchor>
        </w:drawing>
      </w:r>
      <w:bookmarkEnd w:id="7"/>
    </w:p>
    <w:p w14:paraId="3890554F">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sz w:val="24"/>
          <w:lang w:val="en-US" w:eastAsia="zh-CN"/>
        </w:rPr>
      </w:pPr>
    </w:p>
    <w:p w14:paraId="67AFFE35">
      <w:pPr>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sz w:val="24"/>
          <w:lang w:val="en-US" w:eastAsia="zh-CN"/>
        </w:rPr>
      </w:pPr>
    </w:p>
    <w:p w14:paraId="6BCEB89C">
      <w:pPr>
        <w:keepNext w:val="0"/>
        <w:keepLines w:val="0"/>
        <w:pageBreakBefore w:val="0"/>
        <w:widowControl w:val="0"/>
        <w:kinsoku/>
        <w:wordWrap/>
        <w:overflowPunct/>
        <w:topLinePunct w:val="0"/>
        <w:autoSpaceDE/>
        <w:autoSpaceDN/>
        <w:bidi w:val="0"/>
        <w:adjustRightInd/>
        <w:snapToGrid w:val="0"/>
        <w:spacing w:line="500" w:lineRule="exact"/>
        <w:ind w:left="0" w:leftChars="0" w:firstLine="420" w:firstLineChars="200"/>
        <w:textAlignment w:val="auto"/>
        <w:rPr>
          <w:rFonts w:hint="eastAsia"/>
          <w:sz w:val="24"/>
          <w:lang w:val="en-US" w:eastAsia="zh-CN"/>
        </w:rPr>
      </w:pPr>
      <w:r>
        <w:drawing>
          <wp:anchor distT="0" distB="0" distL="114300" distR="114300" simplePos="0" relativeHeight="251659264" behindDoc="0" locked="0" layoutInCell="1" allowOverlap="1">
            <wp:simplePos x="0" y="0"/>
            <wp:positionH relativeFrom="column">
              <wp:posOffset>473075</wp:posOffset>
            </wp:positionH>
            <wp:positionV relativeFrom="paragraph">
              <wp:posOffset>127635</wp:posOffset>
            </wp:positionV>
            <wp:extent cx="4667250" cy="2552700"/>
            <wp:effectExtent l="0" t="0" r="635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4667250" cy="2552700"/>
                    </a:xfrm>
                    <a:prstGeom prst="rect">
                      <a:avLst/>
                    </a:prstGeom>
                  </pic:spPr>
                </pic:pic>
              </a:graphicData>
            </a:graphic>
          </wp:anchor>
        </w:drawing>
      </w:r>
    </w:p>
    <w:p w14:paraId="7DC65677">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p>
    <w:p w14:paraId="0629D211">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p>
    <w:p w14:paraId="3AF8D535">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p>
    <w:p w14:paraId="6CD6E5EE">
      <w:pPr>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rPr>
          <w:rFonts w:hint="eastAsia"/>
          <w:sz w:val="24"/>
          <w:lang w:val="en-US" w:eastAsia="zh-CN"/>
        </w:rPr>
      </w:pPr>
    </w:p>
    <w:p w14:paraId="6A321971">
      <w:pPr>
        <w:keepNext w:val="0"/>
        <w:keepLines w:val="0"/>
        <w:pageBreakBefore w:val="0"/>
        <w:widowControl w:val="0"/>
        <w:kinsoku/>
        <w:wordWrap/>
        <w:overflowPunct/>
        <w:topLinePunct w:val="0"/>
        <w:autoSpaceDE/>
        <w:autoSpaceDN/>
        <w:bidi w:val="0"/>
        <w:adjustRightInd/>
        <w:spacing w:line="500" w:lineRule="exact"/>
        <w:textAlignment w:val="auto"/>
        <w:rPr>
          <w:rFonts w:hint="eastAsia"/>
          <w:sz w:val="24"/>
          <w:lang w:val="en-US" w:eastAsia="zh-CN"/>
        </w:rPr>
      </w:pPr>
    </w:p>
    <w:p w14:paraId="39711BC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黑体" w:eastAsia="黑体"/>
          <w:sz w:val="24"/>
        </w:rPr>
      </w:pPr>
    </w:p>
    <w:p w14:paraId="1FC5FCF8">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黑体" w:eastAsia="黑体"/>
          <w:sz w:val="24"/>
        </w:rPr>
      </w:pPr>
    </w:p>
    <w:p w14:paraId="089401E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黑体" w:eastAsia="黑体"/>
          <w:sz w:val="24"/>
        </w:rPr>
      </w:pPr>
    </w:p>
    <w:p w14:paraId="2A042EB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黑体" w:eastAsia="黑体"/>
          <w:sz w:val="24"/>
        </w:rPr>
      </w:pPr>
      <w:r>
        <w:rPr>
          <w:rFonts w:hint="eastAsia" w:ascii="黑体" w:eastAsia="黑体"/>
          <w:sz w:val="24"/>
        </w:rPr>
        <w:t>三、与现行法律法规、强制性标准和其他有关标准的关系，采用国际标准的程度及水平简要说明</w:t>
      </w:r>
    </w:p>
    <w:p w14:paraId="783B4B4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sz w:val="24"/>
        </w:rPr>
      </w:pPr>
      <w:r>
        <w:rPr>
          <w:rFonts w:hint="eastAsia"/>
          <w:sz w:val="24"/>
        </w:rPr>
        <w:t>本标准与现行法律法规、强制性标准和其他有关标准协调一致。</w:t>
      </w:r>
    </w:p>
    <w:p w14:paraId="2E603225">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sz w:val="24"/>
        </w:rPr>
      </w:pPr>
      <w:r>
        <w:rPr>
          <w:rFonts w:hint="eastAsia"/>
          <w:sz w:val="24"/>
        </w:rPr>
        <w:t>本标准制定过程中未查询到国际标准。</w:t>
      </w:r>
    </w:p>
    <w:p w14:paraId="602E527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黑体" w:eastAsia="黑体"/>
          <w:sz w:val="24"/>
        </w:rPr>
      </w:pPr>
      <w:r>
        <w:rPr>
          <w:rFonts w:hint="eastAsia" w:ascii="黑体" w:eastAsia="黑体"/>
          <w:sz w:val="24"/>
        </w:rPr>
        <w:t>四、重大分歧意见的处理结果和依据。</w:t>
      </w:r>
    </w:p>
    <w:p w14:paraId="73E4309F">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sz w:val="24"/>
        </w:rPr>
      </w:pPr>
      <w:r>
        <w:rPr>
          <w:rFonts w:hint="eastAsia"/>
          <w:sz w:val="24"/>
        </w:rPr>
        <w:t>本标准制定过程中无重大分歧意见。</w:t>
      </w:r>
    </w:p>
    <w:p w14:paraId="4ECB64BA">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黑体" w:eastAsia="黑体"/>
          <w:sz w:val="24"/>
        </w:rPr>
      </w:pPr>
      <w:r>
        <w:rPr>
          <w:rFonts w:hint="eastAsia" w:ascii="黑体" w:eastAsia="黑体"/>
          <w:sz w:val="24"/>
        </w:rPr>
        <w:t>五、贯彻促进会标准的要求和措施建议（包括组织措施、技术措施、过渡办法等内容）</w:t>
      </w:r>
    </w:p>
    <w:p w14:paraId="0021CEBE">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sz w:val="24"/>
          <w:lang w:val="en-US" w:eastAsia="zh-CN"/>
        </w:rPr>
      </w:pPr>
      <w:r>
        <w:rPr>
          <w:rFonts w:hint="eastAsia"/>
          <w:sz w:val="24"/>
          <w:lang w:val="en-US" w:eastAsia="zh-CN"/>
        </w:rPr>
        <w:t>建议再次征集后修订后发布实施。</w:t>
      </w:r>
    </w:p>
    <w:p w14:paraId="5A326A47">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黑体" w:eastAsia="黑体"/>
          <w:sz w:val="24"/>
        </w:rPr>
      </w:pPr>
      <w:r>
        <w:rPr>
          <w:rFonts w:hint="eastAsia" w:ascii="黑体" w:eastAsia="黑体"/>
          <w:sz w:val="24"/>
        </w:rPr>
        <w:t>六、其他应予说明的事项。</w:t>
      </w:r>
    </w:p>
    <w:p w14:paraId="5AFD8BBD">
      <w:pPr>
        <w:pStyle w:val="18"/>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default" w:ascii="ˎ̥" w:hAnsi="ˎ̥" w:eastAsia="宋体"/>
          <w:sz w:val="24"/>
          <w:lang w:val="en-US" w:eastAsia="zh-CN"/>
        </w:rPr>
      </w:pPr>
      <w:r>
        <w:rPr>
          <w:rFonts w:hint="eastAsia" w:asciiTheme="minorEastAsia" w:hAnsiTheme="minorEastAsia" w:eastAsiaTheme="minorEastAsia"/>
          <w:sz w:val="24"/>
          <w:szCs w:val="24"/>
          <w:lang w:val="en-US" w:eastAsia="zh-CN"/>
        </w:rPr>
        <w:t>医疗器械无菌检（化）员能力对无菌医疗器械做好质量检验的重要环节，也是国家药监局多年来重点监管及严格要求的环节，对无菌检验人员能力评价是个高挑战，而无菌医疗器械企业检验方法的不统一很难界定试验结果的一致性与有效性，对监管的一致性也有不同的建议与认知，建议多预留时间征集无菌医疗器械企业多多参与讨论，将可行的检验方法都归结，总结出一个符合检验校准，高效，降本行之有效的流程后并进标准实施。</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17AEC">
    <w:pPr>
      <w:pStyle w:val="5"/>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105621605"/>
                  <w:docPartObj>
                    <w:docPartGallery w:val="autotext"/>
                  </w:docPartObj>
                </w:sdtPr>
                <w:sdtContent>
                  <w:sdt>
                    <w:sdtPr>
                      <w:id w:val="-1705238520"/>
                      <w:docPartObj>
                        <w:docPartGallery w:val="autotext"/>
                      </w:docPartObj>
                    </w:sdtPr>
                    <w:sdtContent>
                      <w:p w14:paraId="47E3E140">
                        <w:pPr>
                          <w:pStyle w:val="5"/>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3ED74CC2"/>
            </w:txbxContent>
          </v:textbox>
        </v:shape>
      </w:pict>
    </w:r>
  </w:p>
  <w:p w14:paraId="4E96562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2155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FC89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916A8">
    <w:pPr>
      <w:pStyle w:val="6"/>
      <w:widowControl w:val="0"/>
      <w:pBdr>
        <w:top w:val="none" w:color="auto" w:sz="0" w:space="1"/>
        <w:left w:val="none" w:color="auto" w:sz="0" w:space="4"/>
        <w:bottom w:val="none" w:color="auto" w:sz="0" w:space="1"/>
        <w:right w:val="none" w:color="auto" w:sz="0" w:space="4"/>
        <w:between w:val="none" w:color="auto" w:sz="0" w:space="0"/>
      </w:pBdr>
      <w:snapToGrid w:val="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C6B8F">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8C891">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2610F"/>
    <w:multiLevelType w:val="multilevel"/>
    <w:tmpl w:val="2E32610F"/>
    <w:lvl w:ilvl="0" w:tentative="0">
      <w:start w:val="1"/>
      <w:numFmt w:val="decimal"/>
      <w:pStyle w:val="39"/>
      <w:lvlText w:val="图%1 "/>
      <w:lvlJc w:val="left"/>
      <w:pPr>
        <w:ind w:left="220" w:hanging="420"/>
      </w:pPr>
      <w:rPr>
        <w:rFonts w:hint="default" w:ascii="Times New Roman" w:hAnsi="Times New Roman" w:eastAsia="黑体"/>
        <w:sz w:val="21"/>
      </w:rPr>
    </w:lvl>
    <w:lvl w:ilvl="1" w:tentative="0">
      <w:start w:val="1"/>
      <w:numFmt w:val="lowerLetter"/>
      <w:lvlText w:val="%2)"/>
      <w:lvlJc w:val="left"/>
      <w:pPr>
        <w:ind w:left="640" w:hanging="420"/>
      </w:pPr>
    </w:lvl>
    <w:lvl w:ilvl="2" w:tentative="0">
      <w:start w:val="1"/>
      <w:numFmt w:val="lowerRoman"/>
      <w:lvlText w:val="%3."/>
      <w:lvlJc w:val="right"/>
      <w:pPr>
        <w:ind w:left="1060" w:hanging="420"/>
      </w:pPr>
    </w:lvl>
    <w:lvl w:ilvl="3" w:tentative="0">
      <w:start w:val="1"/>
      <w:numFmt w:val="decimal"/>
      <w:lvlText w:val="%4."/>
      <w:lvlJc w:val="left"/>
      <w:pPr>
        <w:ind w:left="1480" w:hanging="420"/>
      </w:pPr>
    </w:lvl>
    <w:lvl w:ilvl="4" w:tentative="0">
      <w:start w:val="1"/>
      <w:numFmt w:val="lowerLetter"/>
      <w:lvlText w:val="%5)"/>
      <w:lvlJc w:val="left"/>
      <w:pPr>
        <w:ind w:left="1900" w:hanging="420"/>
      </w:pPr>
    </w:lvl>
    <w:lvl w:ilvl="5" w:tentative="0">
      <w:start w:val="1"/>
      <w:numFmt w:val="lowerRoman"/>
      <w:lvlText w:val="%6."/>
      <w:lvlJc w:val="right"/>
      <w:pPr>
        <w:ind w:left="2320" w:hanging="420"/>
      </w:pPr>
    </w:lvl>
    <w:lvl w:ilvl="6" w:tentative="0">
      <w:start w:val="1"/>
      <w:numFmt w:val="decimal"/>
      <w:lvlText w:val="%7."/>
      <w:lvlJc w:val="left"/>
      <w:pPr>
        <w:ind w:left="2740" w:hanging="420"/>
      </w:pPr>
    </w:lvl>
    <w:lvl w:ilvl="7" w:tentative="0">
      <w:start w:val="1"/>
      <w:numFmt w:val="lowerLetter"/>
      <w:lvlText w:val="%8)"/>
      <w:lvlJc w:val="left"/>
      <w:pPr>
        <w:ind w:left="3160" w:hanging="420"/>
      </w:pPr>
    </w:lvl>
    <w:lvl w:ilvl="8" w:tentative="0">
      <w:start w:val="1"/>
      <w:numFmt w:val="lowerRoman"/>
      <w:lvlText w:val="%9."/>
      <w:lvlJc w:val="right"/>
      <w:pPr>
        <w:ind w:left="3580" w:hanging="420"/>
      </w:pPr>
    </w:lvl>
  </w:abstractNum>
  <w:abstractNum w:abstractNumId="1">
    <w:nsid w:val="3D1C17D8"/>
    <w:multiLevelType w:val="multilevel"/>
    <w:tmpl w:val="3D1C17D8"/>
    <w:lvl w:ilvl="0" w:tentative="0">
      <w:start w:val="1"/>
      <w:numFmt w:val="decimal"/>
      <w:pStyle w:val="38"/>
      <w:lvlText w:val="表%1 "/>
      <w:lvlJc w:val="left"/>
      <w:pPr>
        <w:ind w:left="1890" w:hanging="420"/>
      </w:pPr>
      <w:rPr>
        <w:rFonts w:hint="default" w:ascii="黑体" w:hAnsi="黑体" w:eastAsia="黑体" w:cs="黑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EA2025"/>
    <w:multiLevelType w:val="multilevel"/>
    <w:tmpl w:val="6CEA2025"/>
    <w:lvl w:ilvl="0" w:tentative="0">
      <w:start w:val="1"/>
      <w:numFmt w:val="none"/>
      <w:pStyle w:val="31"/>
      <w:suff w:val="nothing"/>
      <w:lvlText w:val="%1"/>
      <w:lvlJc w:val="left"/>
      <w:rPr>
        <w:rFonts w:hint="default" w:ascii="Times New Roman" w:hAnsi="Times New Roman" w:cs="Times New Roman"/>
        <w:b/>
        <w:bCs/>
        <w:i w:val="0"/>
        <w:iCs w:val="0"/>
        <w:sz w:val="21"/>
        <w:szCs w:val="21"/>
      </w:rPr>
    </w:lvl>
    <w:lvl w:ilvl="1" w:tentative="0">
      <w:start w:val="1"/>
      <w:numFmt w:val="decimal"/>
      <w:pStyle w:val="25"/>
      <w:suff w:val="nothing"/>
      <w:lvlText w:val="%1%2　"/>
      <w:lvlJc w:val="left"/>
      <w:rPr>
        <w:rFonts w:hint="eastAsia" w:ascii="黑体" w:hAnsi="Times New Roman" w:eastAsia="黑体"/>
        <w:b w:val="0"/>
        <w:bCs w:val="0"/>
        <w:i w:val="0"/>
        <w:iCs w:val="0"/>
        <w:sz w:val="21"/>
        <w:szCs w:val="21"/>
      </w:rPr>
    </w:lvl>
    <w:lvl w:ilvl="2" w:tentative="0">
      <w:start w:val="1"/>
      <w:numFmt w:val="decimal"/>
      <w:pStyle w:val="30"/>
      <w:suff w:val="nothing"/>
      <w:lvlText w:val="%1%2.%3　"/>
      <w:lvlJc w:val="left"/>
      <w:rPr>
        <w:rFonts w:hint="eastAsia" w:ascii="黑体" w:hAnsi="Times New Roman" w:eastAsia="黑体"/>
        <w:b w:val="0"/>
        <w:bCs w:val="0"/>
        <w:i w:val="0"/>
        <w:iCs w:val="0"/>
        <w:sz w:val="21"/>
        <w:szCs w:val="21"/>
      </w:rPr>
    </w:lvl>
    <w:lvl w:ilvl="3" w:tentative="0">
      <w:start w:val="1"/>
      <w:numFmt w:val="decimal"/>
      <w:pStyle w:val="26"/>
      <w:suff w:val="nothing"/>
      <w:lvlText w:val="%1%2.%3.%4　"/>
      <w:lvlJc w:val="left"/>
      <w:rPr>
        <w:rFonts w:hint="eastAsia" w:ascii="黑体" w:hAnsi="Times New Roman" w:eastAsia="黑体"/>
        <w:b w:val="0"/>
        <w:bCs w:val="0"/>
        <w:i w:val="0"/>
        <w:iCs w:val="0"/>
        <w:sz w:val="21"/>
        <w:szCs w:val="21"/>
      </w:rPr>
    </w:lvl>
    <w:lvl w:ilvl="4" w:tentative="0">
      <w:start w:val="1"/>
      <w:numFmt w:val="decimal"/>
      <w:pStyle w:val="27"/>
      <w:suff w:val="nothing"/>
      <w:lvlText w:val="%1%2.%3.%4.%5　"/>
      <w:lvlJc w:val="left"/>
      <w:rPr>
        <w:rFonts w:hint="eastAsia" w:ascii="黑体" w:hAnsi="Times New Roman" w:eastAsia="黑体"/>
        <w:b w:val="0"/>
        <w:bCs w:val="0"/>
        <w:i w:val="0"/>
        <w:iCs w:val="0"/>
        <w:sz w:val="21"/>
        <w:szCs w:val="21"/>
      </w:rPr>
    </w:lvl>
    <w:lvl w:ilvl="5" w:tentative="0">
      <w:start w:val="1"/>
      <w:numFmt w:val="decimal"/>
      <w:pStyle w:val="28"/>
      <w:suff w:val="nothing"/>
      <w:lvlText w:val="%1%2.%3.%4.%5.%6　"/>
      <w:lvlJc w:val="left"/>
      <w:rPr>
        <w:rFonts w:hint="eastAsia" w:ascii="黑体" w:hAnsi="Times New Roman" w:eastAsia="黑体"/>
        <w:b w:val="0"/>
        <w:bCs w:val="0"/>
        <w:i w:val="0"/>
        <w:iCs w:val="0"/>
        <w:sz w:val="21"/>
        <w:szCs w:val="21"/>
      </w:rPr>
    </w:lvl>
    <w:lvl w:ilvl="6" w:tentative="0">
      <w:start w:val="1"/>
      <w:numFmt w:val="decimal"/>
      <w:pStyle w:val="29"/>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M0NmVhMjcwOTM5NDRkMDdkNjgzNmZkM2Q4ZWU0NDEifQ=="/>
  </w:docVars>
  <w:rsids>
    <w:rsidRoot w:val="00980DE8"/>
    <w:rsid w:val="00096CEA"/>
    <w:rsid w:val="000E41A4"/>
    <w:rsid w:val="000F3F68"/>
    <w:rsid w:val="00131AF5"/>
    <w:rsid w:val="001A1EC7"/>
    <w:rsid w:val="001A42E9"/>
    <w:rsid w:val="001E01D2"/>
    <w:rsid w:val="001E0F25"/>
    <w:rsid w:val="00275370"/>
    <w:rsid w:val="002E529D"/>
    <w:rsid w:val="00306598"/>
    <w:rsid w:val="00314089"/>
    <w:rsid w:val="00317CA2"/>
    <w:rsid w:val="003618C2"/>
    <w:rsid w:val="00363CFE"/>
    <w:rsid w:val="003B3867"/>
    <w:rsid w:val="00417C7E"/>
    <w:rsid w:val="004A2DAF"/>
    <w:rsid w:val="004A630D"/>
    <w:rsid w:val="004E4598"/>
    <w:rsid w:val="0056750E"/>
    <w:rsid w:val="00582631"/>
    <w:rsid w:val="00586D2B"/>
    <w:rsid w:val="005922F7"/>
    <w:rsid w:val="005C3B7B"/>
    <w:rsid w:val="00610310"/>
    <w:rsid w:val="006215EE"/>
    <w:rsid w:val="00661108"/>
    <w:rsid w:val="0070085F"/>
    <w:rsid w:val="007A0069"/>
    <w:rsid w:val="008319E1"/>
    <w:rsid w:val="0086167E"/>
    <w:rsid w:val="008739CA"/>
    <w:rsid w:val="00913F25"/>
    <w:rsid w:val="0095627D"/>
    <w:rsid w:val="00980DE8"/>
    <w:rsid w:val="00A24AEA"/>
    <w:rsid w:val="00A6002B"/>
    <w:rsid w:val="00A616FE"/>
    <w:rsid w:val="00A93A9E"/>
    <w:rsid w:val="00AF6299"/>
    <w:rsid w:val="00B1226B"/>
    <w:rsid w:val="00B761C8"/>
    <w:rsid w:val="00B7691D"/>
    <w:rsid w:val="00BB0DD5"/>
    <w:rsid w:val="00CE7D88"/>
    <w:rsid w:val="00D86041"/>
    <w:rsid w:val="00D90ABC"/>
    <w:rsid w:val="00DC3647"/>
    <w:rsid w:val="00DD0BBE"/>
    <w:rsid w:val="00DD62B8"/>
    <w:rsid w:val="00E147E8"/>
    <w:rsid w:val="00E14BD6"/>
    <w:rsid w:val="00E44777"/>
    <w:rsid w:val="00F215C9"/>
    <w:rsid w:val="00F614CD"/>
    <w:rsid w:val="00F74128"/>
    <w:rsid w:val="00F80398"/>
    <w:rsid w:val="00F9141C"/>
    <w:rsid w:val="00F965D6"/>
    <w:rsid w:val="00FB3AA3"/>
    <w:rsid w:val="00FC00BB"/>
    <w:rsid w:val="00FC12B7"/>
    <w:rsid w:val="00FD7E33"/>
    <w:rsid w:val="0322279A"/>
    <w:rsid w:val="034A5312"/>
    <w:rsid w:val="035739D3"/>
    <w:rsid w:val="03817919"/>
    <w:rsid w:val="03A42F63"/>
    <w:rsid w:val="0551681E"/>
    <w:rsid w:val="05B97B74"/>
    <w:rsid w:val="06BC532B"/>
    <w:rsid w:val="06BD10CC"/>
    <w:rsid w:val="08EC2DB9"/>
    <w:rsid w:val="0CD604FB"/>
    <w:rsid w:val="0D051A70"/>
    <w:rsid w:val="0D464D9C"/>
    <w:rsid w:val="0E372416"/>
    <w:rsid w:val="0F843EBA"/>
    <w:rsid w:val="1038043C"/>
    <w:rsid w:val="10B5717D"/>
    <w:rsid w:val="1134754D"/>
    <w:rsid w:val="11E13E5B"/>
    <w:rsid w:val="12103BCB"/>
    <w:rsid w:val="127E3614"/>
    <w:rsid w:val="12CD6FEE"/>
    <w:rsid w:val="14990670"/>
    <w:rsid w:val="163F775A"/>
    <w:rsid w:val="16C35EA4"/>
    <w:rsid w:val="1726454E"/>
    <w:rsid w:val="17326629"/>
    <w:rsid w:val="17365EA8"/>
    <w:rsid w:val="17D9107A"/>
    <w:rsid w:val="186336D8"/>
    <w:rsid w:val="1C843955"/>
    <w:rsid w:val="1C9A7366"/>
    <w:rsid w:val="1E3C3081"/>
    <w:rsid w:val="1F35522A"/>
    <w:rsid w:val="1F926451"/>
    <w:rsid w:val="1FD74538"/>
    <w:rsid w:val="20522232"/>
    <w:rsid w:val="21FF6A62"/>
    <w:rsid w:val="22DC6175"/>
    <w:rsid w:val="24254BA9"/>
    <w:rsid w:val="25BC22C0"/>
    <w:rsid w:val="25E55AA0"/>
    <w:rsid w:val="26751DF6"/>
    <w:rsid w:val="274A6DDF"/>
    <w:rsid w:val="27BE08C9"/>
    <w:rsid w:val="280C15B5"/>
    <w:rsid w:val="2A383465"/>
    <w:rsid w:val="2A63473C"/>
    <w:rsid w:val="2A9E3C16"/>
    <w:rsid w:val="2B760E79"/>
    <w:rsid w:val="2E55622B"/>
    <w:rsid w:val="31653193"/>
    <w:rsid w:val="316B79E6"/>
    <w:rsid w:val="34D63D90"/>
    <w:rsid w:val="34DB2A67"/>
    <w:rsid w:val="34F767F8"/>
    <w:rsid w:val="35820E6C"/>
    <w:rsid w:val="35A37126"/>
    <w:rsid w:val="35F72828"/>
    <w:rsid w:val="3701586F"/>
    <w:rsid w:val="382602C5"/>
    <w:rsid w:val="3A653607"/>
    <w:rsid w:val="3AC827FE"/>
    <w:rsid w:val="3B972E61"/>
    <w:rsid w:val="3C502C92"/>
    <w:rsid w:val="3C9B1A25"/>
    <w:rsid w:val="3DA22677"/>
    <w:rsid w:val="3DE91BEB"/>
    <w:rsid w:val="3E0F67FA"/>
    <w:rsid w:val="3E13087D"/>
    <w:rsid w:val="3E90381A"/>
    <w:rsid w:val="3EEA56BA"/>
    <w:rsid w:val="3F227E5E"/>
    <w:rsid w:val="3FC512A1"/>
    <w:rsid w:val="40FA2809"/>
    <w:rsid w:val="41636CB6"/>
    <w:rsid w:val="41E215C6"/>
    <w:rsid w:val="42410707"/>
    <w:rsid w:val="44802F87"/>
    <w:rsid w:val="44C67F95"/>
    <w:rsid w:val="467328A4"/>
    <w:rsid w:val="47FC6ED2"/>
    <w:rsid w:val="49161FED"/>
    <w:rsid w:val="49A34401"/>
    <w:rsid w:val="49BF4380"/>
    <w:rsid w:val="49FA5FEB"/>
    <w:rsid w:val="4A766243"/>
    <w:rsid w:val="4BE62CCB"/>
    <w:rsid w:val="4BFD4DF8"/>
    <w:rsid w:val="4D4D7562"/>
    <w:rsid w:val="4D8B1D7C"/>
    <w:rsid w:val="4E3B1335"/>
    <w:rsid w:val="4E5726DB"/>
    <w:rsid w:val="4E676345"/>
    <w:rsid w:val="4E7259F6"/>
    <w:rsid w:val="4F8B21D5"/>
    <w:rsid w:val="4FD976D5"/>
    <w:rsid w:val="50151DD1"/>
    <w:rsid w:val="51012E61"/>
    <w:rsid w:val="51954A02"/>
    <w:rsid w:val="554B49EA"/>
    <w:rsid w:val="555845FA"/>
    <w:rsid w:val="558A0684"/>
    <w:rsid w:val="564C33E3"/>
    <w:rsid w:val="574551BC"/>
    <w:rsid w:val="57D840BE"/>
    <w:rsid w:val="57DA47FC"/>
    <w:rsid w:val="596F785A"/>
    <w:rsid w:val="5ABC0073"/>
    <w:rsid w:val="5B8861B2"/>
    <w:rsid w:val="5BE46B6D"/>
    <w:rsid w:val="5CB07542"/>
    <w:rsid w:val="5CC1499E"/>
    <w:rsid w:val="5CD31D13"/>
    <w:rsid w:val="5E05717E"/>
    <w:rsid w:val="5ECD6079"/>
    <w:rsid w:val="60BD5461"/>
    <w:rsid w:val="62BB6678"/>
    <w:rsid w:val="647A4140"/>
    <w:rsid w:val="64C002B5"/>
    <w:rsid w:val="655675F1"/>
    <w:rsid w:val="67D30A98"/>
    <w:rsid w:val="69124CA8"/>
    <w:rsid w:val="69841F9B"/>
    <w:rsid w:val="6A296FA2"/>
    <w:rsid w:val="6A7052DA"/>
    <w:rsid w:val="6AD1573B"/>
    <w:rsid w:val="6B655258"/>
    <w:rsid w:val="6DD40CFB"/>
    <w:rsid w:val="6EFC30C9"/>
    <w:rsid w:val="6F1B41FB"/>
    <w:rsid w:val="6FAE0FE7"/>
    <w:rsid w:val="70CF0B30"/>
    <w:rsid w:val="712F4E89"/>
    <w:rsid w:val="7148382D"/>
    <w:rsid w:val="733C44D7"/>
    <w:rsid w:val="744163C8"/>
    <w:rsid w:val="75AA6994"/>
    <w:rsid w:val="75EB6A79"/>
    <w:rsid w:val="76C07785"/>
    <w:rsid w:val="76F033C8"/>
    <w:rsid w:val="776B7250"/>
    <w:rsid w:val="7C317DEB"/>
    <w:rsid w:val="7C5F1B5A"/>
    <w:rsid w:val="7CDB3C5D"/>
    <w:rsid w:val="7E965020"/>
    <w:rsid w:val="7F052D52"/>
    <w:rsid w:val="7FE64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link w:val="13"/>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rPr>
      <w:rFonts w:cs="宋体"/>
      <w:lang w:val="zh-CN" w:bidi="zh-CN"/>
    </w:rPr>
  </w:style>
  <w:style w:type="paragraph" w:styleId="4">
    <w:name w:val="Balloon Text"/>
    <w:basedOn w:val="1"/>
    <w:link w:val="20"/>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able of figures"/>
    <w:basedOn w:val="1"/>
    <w:next w:val="1"/>
    <w:autoRedefine/>
    <w:semiHidden/>
    <w:unhideWhenUsed/>
    <w:qFormat/>
    <w:uiPriority w:val="99"/>
    <w:pPr>
      <w:adjustRightInd w:val="0"/>
      <w:spacing w:line="400" w:lineRule="exact"/>
      <w:ind w:left="200" w:leftChars="200" w:hanging="200" w:hangingChars="200"/>
    </w:pPr>
    <w:rPr>
      <w:rFonts w:ascii="Calibri" w:hAnsi="Calibri" w:eastAsia="宋体" w:cs="Calibri"/>
      <w:szCs w:val="21"/>
    </w:rPr>
  </w:style>
  <w:style w:type="paragraph" w:styleId="8">
    <w:name w:val="HTML Preformatted"/>
    <w:basedOn w:val="1"/>
    <w:link w:val="35"/>
    <w:autoRedefine/>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semiHidden/>
    <w:unhideWhenUsed/>
    <w:qFormat/>
    <w:uiPriority w:val="99"/>
    <w:rPr>
      <w:color w:val="0000FF"/>
      <w:u w:val="single"/>
    </w:rPr>
  </w:style>
  <w:style w:type="character" w:customStyle="1" w:styleId="13">
    <w:name w:val="标题 3 字符"/>
    <w:basedOn w:val="11"/>
    <w:link w:val="3"/>
    <w:qFormat/>
    <w:uiPriority w:val="9"/>
    <w:rPr>
      <w:rFonts w:ascii="Calibri" w:hAnsi="Calibri" w:eastAsia="宋体" w:cs="Times New Roman"/>
      <w:b/>
      <w:bCs/>
      <w:sz w:val="32"/>
      <w:szCs w:val="32"/>
    </w:rPr>
  </w:style>
  <w:style w:type="character" w:customStyle="1" w:styleId="14">
    <w:name w:val="页眉 字符"/>
    <w:basedOn w:val="11"/>
    <w:link w:val="6"/>
    <w:autoRedefine/>
    <w:qFormat/>
    <w:uiPriority w:val="99"/>
    <w:rPr>
      <w:rFonts w:ascii="Calibri" w:hAnsi="Calibri" w:eastAsia="宋体" w:cs="Times New Roman"/>
      <w:sz w:val="18"/>
      <w:szCs w:val="18"/>
    </w:rPr>
  </w:style>
  <w:style w:type="character" w:customStyle="1" w:styleId="15">
    <w:name w:val="页脚 字符"/>
    <w:basedOn w:val="11"/>
    <w:link w:val="5"/>
    <w:autoRedefine/>
    <w:qFormat/>
    <w:uiPriority w:val="99"/>
    <w:rPr>
      <w:rFonts w:ascii="Calibri" w:hAnsi="Calibri" w:eastAsia="宋体" w:cs="Times New Roman"/>
      <w:sz w:val="18"/>
      <w:szCs w:val="18"/>
    </w:rPr>
  </w:style>
  <w:style w:type="paragraph" w:customStyle="1" w:styleId="16">
    <w:name w:val="段"/>
    <w:link w:val="1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段 Char"/>
    <w:link w:val="16"/>
    <w:autoRedefine/>
    <w:qFormat/>
    <w:uiPriority w:val="0"/>
    <w:rPr>
      <w:rFonts w:ascii="宋体" w:hAnsi="Times New Roman" w:eastAsia="宋体" w:cs="Times New Roman"/>
      <w:kern w:val="0"/>
      <w:szCs w:val="20"/>
    </w:rPr>
  </w:style>
  <w:style w:type="paragraph" w:customStyle="1" w:styleId="18">
    <w:name w:val="文章正文"/>
    <w:basedOn w:val="1"/>
    <w:link w:val="19"/>
    <w:qFormat/>
    <w:uiPriority w:val="0"/>
    <w:pPr>
      <w:ind w:firstLine="560" w:firstLineChars="200"/>
    </w:pPr>
    <w:rPr>
      <w:rFonts w:ascii="宋体" w:hAnsi="宋体"/>
      <w:color w:val="000000"/>
      <w:kern w:val="28"/>
      <w:sz w:val="28"/>
      <w:szCs w:val="28"/>
      <w:lang w:val="zh-CN"/>
    </w:rPr>
  </w:style>
  <w:style w:type="character" w:customStyle="1" w:styleId="19">
    <w:name w:val="文章正文 Char"/>
    <w:link w:val="18"/>
    <w:qFormat/>
    <w:uiPriority w:val="0"/>
    <w:rPr>
      <w:rFonts w:ascii="宋体" w:hAnsi="宋体" w:eastAsia="宋体" w:cs="Times New Roman"/>
      <w:color w:val="000000"/>
      <w:kern w:val="28"/>
      <w:sz w:val="28"/>
      <w:szCs w:val="28"/>
      <w:lang w:val="zh-CN" w:eastAsia="zh-CN"/>
    </w:rPr>
  </w:style>
  <w:style w:type="character" w:customStyle="1" w:styleId="20">
    <w:name w:val="批注框文本 字符"/>
    <w:basedOn w:val="11"/>
    <w:link w:val="4"/>
    <w:autoRedefine/>
    <w:semiHidden/>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段 字符"/>
    <w:basedOn w:val="11"/>
    <w:autoRedefine/>
    <w:qFormat/>
    <w:uiPriority w:val="0"/>
    <w:rPr>
      <w:rFonts w:ascii="Times New Roman" w:hAnsi="Times New Roman" w:eastAsia="宋体" w:cs="Calibri"/>
      <w:szCs w:val="21"/>
    </w:rPr>
  </w:style>
  <w:style w:type="paragraph" w:customStyle="1" w:styleId="23">
    <w:name w:val="术语"/>
    <w:basedOn w:val="16"/>
    <w:next w:val="16"/>
    <w:link w:val="24"/>
    <w:autoRedefine/>
    <w:qFormat/>
    <w:uiPriority w:val="0"/>
    <w:pPr>
      <w:widowControl w:val="0"/>
      <w:autoSpaceDE/>
      <w:autoSpaceDN/>
      <w:adjustRightInd w:val="0"/>
      <w:ind w:firstLine="420"/>
    </w:pPr>
    <w:rPr>
      <w:rFonts w:ascii="Times New Roman" w:eastAsia="黑体" w:cs="Calibri"/>
      <w:kern w:val="2"/>
      <w:szCs w:val="21"/>
    </w:rPr>
  </w:style>
  <w:style w:type="character" w:customStyle="1" w:styleId="24">
    <w:name w:val="术语 字符"/>
    <w:basedOn w:val="22"/>
    <w:link w:val="23"/>
    <w:qFormat/>
    <w:uiPriority w:val="0"/>
    <w:rPr>
      <w:rFonts w:ascii="Times New Roman" w:hAnsi="Times New Roman" w:eastAsia="黑体" w:cs="Calibri"/>
      <w:szCs w:val="21"/>
    </w:rPr>
  </w:style>
  <w:style w:type="paragraph" w:customStyle="1" w:styleId="25">
    <w:name w:val="1章标题"/>
    <w:next w:val="1"/>
    <w:autoRedefine/>
    <w:qFormat/>
    <w:uiPriority w:val="99"/>
    <w:pPr>
      <w:numPr>
        <w:ilvl w:val="1"/>
        <w:numId w:val="1"/>
      </w:numPr>
      <w:spacing w:beforeLines="50" w:afterLines="50"/>
      <w:jc w:val="both"/>
      <w:outlineLvl w:val="0"/>
    </w:pPr>
    <w:rPr>
      <w:rFonts w:ascii="黑体" w:hAnsi="Times New Roman" w:eastAsia="黑体" w:cs="黑体"/>
      <w:sz w:val="21"/>
      <w:szCs w:val="21"/>
      <w:lang w:val="en-US" w:eastAsia="zh-CN" w:bidi="ar-SA"/>
    </w:rPr>
  </w:style>
  <w:style w:type="paragraph" w:customStyle="1" w:styleId="26">
    <w:name w:val="标准文件_二级条标题"/>
    <w:next w:val="1"/>
    <w:autoRedefine/>
    <w:qFormat/>
    <w:uiPriority w:val="99"/>
    <w:pPr>
      <w:widowControl w:val="0"/>
      <w:numPr>
        <w:ilvl w:val="3"/>
        <w:numId w:val="1"/>
      </w:numPr>
      <w:jc w:val="both"/>
      <w:outlineLvl w:val="2"/>
    </w:pPr>
    <w:rPr>
      <w:rFonts w:ascii="黑体" w:hAnsi="Times New Roman" w:eastAsia="黑体" w:cs="黑体"/>
      <w:sz w:val="21"/>
      <w:szCs w:val="21"/>
      <w:lang w:val="en-US" w:eastAsia="zh-CN" w:bidi="ar-SA"/>
    </w:rPr>
  </w:style>
  <w:style w:type="paragraph" w:customStyle="1" w:styleId="27">
    <w:name w:val="标准文件_三级条标题"/>
    <w:basedOn w:val="26"/>
    <w:next w:val="1"/>
    <w:qFormat/>
    <w:uiPriority w:val="99"/>
    <w:pPr>
      <w:widowControl/>
      <w:numPr>
        <w:ilvl w:val="4"/>
      </w:numPr>
      <w:outlineLvl w:val="3"/>
    </w:pPr>
  </w:style>
  <w:style w:type="paragraph" w:customStyle="1" w:styleId="28">
    <w:name w:val="标准文件_四级条标题"/>
    <w:next w:val="1"/>
    <w:qFormat/>
    <w:uiPriority w:val="99"/>
    <w:pPr>
      <w:widowControl w:val="0"/>
      <w:numPr>
        <w:ilvl w:val="5"/>
        <w:numId w:val="1"/>
      </w:numPr>
      <w:jc w:val="both"/>
      <w:outlineLvl w:val="4"/>
    </w:pPr>
    <w:rPr>
      <w:rFonts w:ascii="黑体" w:hAnsi="Times New Roman" w:eastAsia="黑体" w:cs="黑体"/>
      <w:sz w:val="21"/>
      <w:szCs w:val="21"/>
      <w:lang w:val="en-US" w:eastAsia="zh-CN" w:bidi="ar-SA"/>
    </w:rPr>
  </w:style>
  <w:style w:type="paragraph" w:customStyle="1" w:styleId="29">
    <w:name w:val="标准文件_五级条标题"/>
    <w:next w:val="1"/>
    <w:qFormat/>
    <w:uiPriority w:val="99"/>
    <w:pPr>
      <w:widowControl w:val="0"/>
      <w:numPr>
        <w:ilvl w:val="6"/>
        <w:numId w:val="1"/>
      </w:numPr>
      <w:jc w:val="both"/>
      <w:outlineLvl w:val="5"/>
    </w:pPr>
    <w:rPr>
      <w:rFonts w:ascii="黑体" w:hAnsi="Times New Roman" w:eastAsia="黑体" w:cs="黑体"/>
      <w:sz w:val="21"/>
      <w:szCs w:val="21"/>
      <w:lang w:val="en-US" w:eastAsia="zh-CN" w:bidi="ar-SA"/>
    </w:rPr>
  </w:style>
  <w:style w:type="paragraph" w:customStyle="1" w:styleId="30">
    <w:name w:val="标准文件_一级条标题"/>
    <w:basedOn w:val="25"/>
    <w:next w:val="1"/>
    <w:qFormat/>
    <w:uiPriority w:val="99"/>
    <w:pPr>
      <w:numPr>
        <w:ilvl w:val="2"/>
      </w:numPr>
      <w:spacing w:beforeLines="0" w:afterLines="0"/>
      <w:outlineLvl w:val="1"/>
    </w:pPr>
  </w:style>
  <w:style w:type="paragraph" w:customStyle="1" w:styleId="31">
    <w:name w:val="前言标题"/>
    <w:next w:val="1"/>
    <w:autoRedefine/>
    <w:qFormat/>
    <w:uiPriority w:val="99"/>
    <w:pPr>
      <w:numPr>
        <w:ilvl w:val="0"/>
        <w:numId w:val="1"/>
      </w:numPr>
      <w:shd w:val="clear" w:color="FFFFFF" w:fill="FFFFFF"/>
      <w:spacing w:before="540"/>
      <w:jc w:val="center"/>
      <w:outlineLvl w:val="0"/>
    </w:pPr>
    <w:rPr>
      <w:rFonts w:ascii="黑体" w:hAnsi="Times New Roman" w:eastAsia="黑体" w:cs="黑体"/>
      <w:sz w:val="32"/>
      <w:szCs w:val="32"/>
      <w:lang w:val="en-US" w:eastAsia="zh-CN" w:bidi="ar-SA"/>
    </w:rPr>
  </w:style>
  <w:style w:type="paragraph" w:customStyle="1" w:styleId="32">
    <w:name w:val="二级条标题"/>
    <w:basedOn w:val="26"/>
    <w:next w:val="16"/>
    <w:link w:val="33"/>
    <w:qFormat/>
    <w:uiPriority w:val="0"/>
    <w:pPr>
      <w:spacing w:before="50" w:beforeLines="50" w:after="50" w:afterLines="50"/>
    </w:pPr>
    <w:rPr>
      <w:rFonts w:ascii="Times New Roman"/>
    </w:rPr>
  </w:style>
  <w:style w:type="character" w:customStyle="1" w:styleId="33">
    <w:name w:val="二级条标题 字符"/>
    <w:basedOn w:val="11"/>
    <w:link w:val="32"/>
    <w:autoRedefine/>
    <w:qFormat/>
    <w:uiPriority w:val="0"/>
    <w:rPr>
      <w:rFonts w:ascii="Times New Roman" w:hAnsi="Times New Roman" w:eastAsia="黑体" w:cs="黑体"/>
      <w:kern w:val="0"/>
      <w:szCs w:val="21"/>
    </w:rPr>
  </w:style>
  <w:style w:type="character" w:customStyle="1" w:styleId="34">
    <w:name w:val="font11"/>
    <w:basedOn w:val="11"/>
    <w:qFormat/>
    <w:uiPriority w:val="0"/>
    <w:rPr>
      <w:rFonts w:hint="eastAsia" w:ascii="宋体" w:hAnsi="宋体" w:eastAsia="宋体" w:cs="宋体"/>
      <w:color w:val="000000"/>
      <w:sz w:val="22"/>
      <w:szCs w:val="22"/>
      <w:u w:val="none"/>
    </w:rPr>
  </w:style>
  <w:style w:type="character" w:customStyle="1" w:styleId="35">
    <w:name w:val="HTML 预设格式 字符"/>
    <w:basedOn w:val="11"/>
    <w:link w:val="8"/>
    <w:semiHidden/>
    <w:qFormat/>
    <w:uiPriority w:val="99"/>
    <w:rPr>
      <w:rFonts w:ascii="宋体" w:hAnsi="宋体" w:cs="宋体"/>
      <w:sz w:val="24"/>
      <w:szCs w:val="24"/>
    </w:rPr>
  </w:style>
  <w:style w:type="paragraph" w:customStyle="1" w:styleId="36">
    <w:name w:val="一级条标题"/>
    <w:basedOn w:val="30"/>
    <w:next w:val="16"/>
    <w:autoRedefine/>
    <w:qFormat/>
    <w:uiPriority w:val="0"/>
    <w:pPr>
      <w:spacing w:before="156" w:beforeLines="50" w:after="156" w:afterLines="50"/>
    </w:pPr>
  </w:style>
  <w:style w:type="paragraph" w:customStyle="1" w:styleId="37">
    <w:name w:val="标准文件_段"/>
    <w:autoRedefine/>
    <w:qFormat/>
    <w:uiPriority w:val="99"/>
    <w:pPr>
      <w:widowControl w:val="0"/>
      <w:ind w:firstLine="198" w:firstLineChars="200"/>
      <w:jc w:val="both"/>
    </w:pPr>
    <w:rPr>
      <w:rFonts w:ascii="宋体" w:hAnsi="宋体" w:eastAsia="宋体" w:cs="宋体"/>
      <w:kern w:val="2"/>
      <w:sz w:val="21"/>
      <w:szCs w:val="21"/>
      <w:lang w:val="en-US" w:eastAsia="zh-CN" w:bidi="ar-SA"/>
    </w:rPr>
  </w:style>
  <w:style w:type="paragraph" w:customStyle="1" w:styleId="38">
    <w:name w:val="正文表标题"/>
    <w:basedOn w:val="39"/>
    <w:next w:val="16"/>
    <w:autoRedefine/>
    <w:qFormat/>
    <w:uiPriority w:val="0"/>
    <w:pPr>
      <w:numPr>
        <w:numId w:val="2"/>
      </w:numPr>
    </w:pPr>
  </w:style>
  <w:style w:type="paragraph" w:customStyle="1" w:styleId="39">
    <w:name w:val="正文图题"/>
    <w:basedOn w:val="7"/>
    <w:next w:val="16"/>
    <w:autoRedefine/>
    <w:qFormat/>
    <w:uiPriority w:val="0"/>
    <w:pPr>
      <w:numPr>
        <w:ilvl w:val="0"/>
        <w:numId w:val="3"/>
      </w:numPr>
      <w:spacing w:before="50" w:beforeLines="50" w:after="50" w:afterLines="50" w:line="240" w:lineRule="auto"/>
      <w:ind w:left="0" w:leftChars="0" w:firstLine="0" w:firstLineChars="0"/>
      <w:jc w:val="center"/>
    </w:pPr>
    <w:rPr>
      <w:rFonts w:eastAsia="黑体"/>
    </w:rPr>
  </w:style>
  <w:style w:type="paragraph" w:customStyle="1" w:styleId="40">
    <w:name w:val="三级条标题"/>
    <w:basedOn w:val="27"/>
    <w:next w:val="16"/>
    <w:qFormat/>
    <w:uiPriority w:val="0"/>
    <w:pPr>
      <w:spacing w:before="156" w:beforeLines="50" w:after="156" w:afterLines="5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411FA1-C665-4CEF-A46E-03F3344C7C2C}">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2671</Words>
  <Characters>2918</Characters>
  <Lines>18</Lines>
  <Paragraphs>5</Paragraphs>
  <TotalTime>1</TotalTime>
  <ScaleCrop>false</ScaleCrop>
  <LinksUpToDate>false</LinksUpToDate>
  <CharactersWithSpaces>2964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2017-06-05T06:59:00Z</dcterms:created>
  <dc:creator>zhengyanfeng</dc:creator>
  <cp:lastModifiedBy>飞天 教育</cp:lastModifiedBy>
  <dcterms:modified xsi:type="dcterms:W3CDTF">2025-10-27T08:30:48Z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856F06179FC943519AC3DDFD412052ED</vt:lpwstr>
  </property>
  <property fmtid="{D5CDD505-2E9C-101B-9397-08002B2CF9AE}" pid="4" name="KSOTemplateDocerSaveRecord">
    <vt:lpwstr>eyJoZGlkIjoiOWM0NmVhMjcwOTM5NDRkMDdkNjgzNmZkM2Q4ZWU0NDEiLCJ1c2VySWQiOiIxOTU1ODM5NzMifQ==</vt:lpwstr>
  </property>
</Properties>
</file>